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F7DB" w14:textId="77777777" w:rsidR="005F4E61" w:rsidRDefault="005F4E61"/>
    <w:p w14:paraId="017F6919" w14:textId="77777777" w:rsidR="005F4E61" w:rsidRPr="005F4E61" w:rsidRDefault="005F4E61" w:rsidP="005F4E61"/>
    <w:p w14:paraId="0FEFA413" w14:textId="77777777" w:rsidR="005F4E61" w:rsidRDefault="005F4E61" w:rsidP="005F4E61"/>
    <w:p w14:paraId="77762506" w14:textId="77777777" w:rsidR="005F4E61" w:rsidRPr="001D621E" w:rsidRDefault="005F4E61" w:rsidP="005F4E61">
      <w:pPr>
        <w:pStyle w:val="MMKopfzeile"/>
        <w:ind w:right="1155"/>
        <w:rPr>
          <w:color w:val="6E6B60"/>
        </w:rPr>
      </w:pPr>
      <w:r w:rsidRPr="001D621E">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Pr>
          <w:color w:val="6E6B60"/>
        </w:rPr>
        <w:t>21. februar 2024</w:t>
      </w:r>
      <w:r w:rsidRPr="001D621E">
        <w:rPr>
          <w:color w:val="6E6B60"/>
        </w:rPr>
        <w:fldChar w:fldCharType="end"/>
      </w:r>
    </w:p>
    <w:p w14:paraId="0A773E66" w14:textId="77777777" w:rsidR="005F4E61" w:rsidRPr="001D621E" w:rsidRDefault="005F4E61" w:rsidP="005F4E61">
      <w:pPr>
        <w:pStyle w:val="MMKopfzeile"/>
        <w:ind w:right="1155"/>
        <w:jc w:val="both"/>
        <w:rPr>
          <w:color w:val="6E6B60"/>
        </w:rPr>
      </w:pPr>
      <w:r>
        <w:rPr>
          <w:color w:val="6E6B60"/>
        </w:rPr>
        <w:t>Sporočilo za medije:</w:t>
      </w:r>
      <w:r w:rsidRPr="001D621E">
        <w:rPr>
          <w:color w:val="6E6B60"/>
        </w:rPr>
        <w:t xml:space="preserve"> </w:t>
      </w:r>
      <w:r>
        <w:rPr>
          <w:color w:val="6E6B60"/>
        </w:rPr>
        <w:t>megatovornjaki v cestnem prometu predstavljajo nevarnost za alpske regije</w:t>
      </w:r>
    </w:p>
    <w:p w14:paraId="1BA17772" w14:textId="77777777" w:rsidR="005F4E61" w:rsidRPr="00914127" w:rsidRDefault="005F4E61" w:rsidP="005F4E61">
      <w:pPr>
        <w:pStyle w:val="MMTitel"/>
        <w:ind w:right="1155"/>
        <w:jc w:val="both"/>
        <w:rPr>
          <w:color w:val="A2BF2F"/>
        </w:rPr>
      </w:pPr>
      <w:r>
        <w:rPr>
          <w:color w:val="A2BF2F"/>
        </w:rPr>
        <w:t>Megatovornjaki -</w:t>
      </w:r>
      <w:r w:rsidRPr="00914127">
        <w:rPr>
          <w:color w:val="A2BF2F"/>
        </w:rPr>
        <w:t xml:space="preserve"> </w:t>
      </w:r>
      <w:r>
        <w:rPr>
          <w:color w:val="A2BF2F"/>
        </w:rPr>
        <w:t>nevarnost za človeka in naravo</w:t>
      </w:r>
    </w:p>
    <w:p w14:paraId="1C700039" w14:textId="77777777" w:rsidR="005F4E61" w:rsidRPr="00914127" w:rsidRDefault="005F4E61" w:rsidP="005F4E61">
      <w:pPr>
        <w:pStyle w:val="MMLead"/>
        <w:ind w:right="1155"/>
      </w:pPr>
      <w:bookmarkStart w:id="0" w:name="_Hlk159379274"/>
      <w:r w:rsidRPr="00AE728E">
        <w:t>Odbor Evropskega parlamenta za promet je februarja 2024 odobril vožnje daljših tovornih kompozicij (</w:t>
      </w:r>
      <w:r>
        <w:t xml:space="preserve">t. i. </w:t>
      </w:r>
      <w:r w:rsidRPr="00AE728E">
        <w:t>gigaliner), katerih masa znaša do 60 ton, dolžina pa 25 metrov - kljub resnim pomislekom CIPRE</w:t>
      </w:r>
      <w:bookmarkEnd w:id="0"/>
      <w:r w:rsidRPr="00997910">
        <w:t xml:space="preserve">. </w:t>
      </w:r>
    </w:p>
    <w:p w14:paraId="0FC539D7" w14:textId="77777777" w:rsidR="005F4E61" w:rsidRDefault="005F4E61" w:rsidP="005F4E61">
      <w:pPr>
        <w:pStyle w:val="MMText"/>
        <w:ind w:right="1155"/>
      </w:pPr>
      <w:r w:rsidRPr="00AE728E">
        <w:t xml:space="preserve">En sam megatovornjak lahko nadomesti </w:t>
      </w:r>
      <w:r>
        <w:t xml:space="preserve">kar </w:t>
      </w:r>
      <w:r w:rsidRPr="00AE728E">
        <w:t>tri običajne tovornjake in tako prispeva k varstvu podnebja, se glasi argument lobija tovornjakarjev</w:t>
      </w:r>
      <w:r>
        <w:t>, d</w:t>
      </w:r>
      <w:r w:rsidRPr="00AE728E">
        <w:t xml:space="preserve">a </w:t>
      </w:r>
      <w:r>
        <w:t xml:space="preserve">pa </w:t>
      </w:r>
      <w:r w:rsidRPr="00AE728E">
        <w:t xml:space="preserve">je resnica ravno nasprotna, je CIPRA opozorila </w:t>
      </w:r>
      <w:r>
        <w:t xml:space="preserve">že </w:t>
      </w:r>
      <w:r w:rsidRPr="00AE728E">
        <w:t>v svojem pismu, ki ga je 7. februarja 2024 poslala Odboru Evropskega parlamenta za promet. V njem je po točkah ovrgla argumente zagovornikov megatovornjakov, saj bi se prav zaradi njih namesto železniškega povečal cestni promet, kar je pokazala tudi nedavna študija Evropskega združenja za železniški promet. Posledic</w:t>
      </w:r>
      <w:r>
        <w:t>e</w:t>
      </w:r>
      <w:r w:rsidRPr="00AE728E">
        <w:t xml:space="preserve"> bi </w:t>
      </w:r>
      <w:r>
        <w:t>se kazale v</w:t>
      </w:r>
      <w:r w:rsidRPr="00AE728E">
        <w:t xml:space="preserve"> do 10,5 mio. dodatnih vožnj</w:t>
      </w:r>
      <w:r>
        <w:t>ah</w:t>
      </w:r>
      <w:r w:rsidRPr="00AE728E">
        <w:t xml:space="preserve"> tovornih vozil letno, 6,6 mio. </w:t>
      </w:r>
      <w:bookmarkStart w:id="1" w:name="Bookmark"/>
      <w:bookmarkEnd w:id="1"/>
      <w:r w:rsidRPr="00AE728E">
        <w:t>ton</w:t>
      </w:r>
      <w:r>
        <w:t>ah</w:t>
      </w:r>
      <w:r w:rsidRPr="00AE728E">
        <w:t xml:space="preserve"> dodatnih emisij CO</w:t>
      </w:r>
      <w:r w:rsidRPr="00AE728E">
        <w:rPr>
          <w:vertAlign w:val="subscript"/>
        </w:rPr>
        <w:t>2</w:t>
      </w:r>
      <w:r w:rsidRPr="00AE728E">
        <w:t xml:space="preserve"> in potrojitv</w:t>
      </w:r>
      <w:r>
        <w:t>i</w:t>
      </w:r>
      <w:r w:rsidRPr="00AE728E">
        <w:t xml:space="preserve"> zunanjih stroškov</w:t>
      </w:r>
      <w:r w:rsidRPr="00403A79">
        <w:t>.</w:t>
      </w:r>
    </w:p>
    <w:p w14:paraId="1C48AA40" w14:textId="77777777" w:rsidR="005F4E61" w:rsidRPr="00403A79" w:rsidRDefault="005F4E61" w:rsidP="005F4E61">
      <w:pPr>
        <w:pStyle w:val="MMText"/>
        <w:ind w:right="1155"/>
      </w:pPr>
    </w:p>
    <w:p w14:paraId="2AB8151F" w14:textId="77777777" w:rsidR="005F4E61" w:rsidRDefault="005F4E61" w:rsidP="005F4E61">
      <w:pPr>
        <w:pStyle w:val="MMText"/>
        <w:ind w:right="1155"/>
        <w:rPr>
          <w:b/>
        </w:rPr>
      </w:pPr>
      <w:r>
        <w:rPr>
          <w:b/>
        </w:rPr>
        <w:t>Večje tveganje, hujše nesreče</w:t>
      </w:r>
    </w:p>
    <w:p w14:paraId="730EFEC1" w14:textId="77777777" w:rsidR="005F4E61" w:rsidRDefault="005F4E61" w:rsidP="005F4E61">
      <w:pPr>
        <w:pStyle w:val="MMText"/>
        <w:ind w:right="1155"/>
      </w:pPr>
      <w:r w:rsidRPr="00F33DEC">
        <w:t xml:space="preserve">Prehitevanje megatovornjakov traja dlje, prav tako v primerjavi z običajnimi tovornimi vozili za druge udeležence v prometu prinašajo večje tveganje pri zavijanju, na križiščih, krožiščih in avtocestnih priključkih. Dodatno varnostno tveganje </w:t>
      </w:r>
      <w:r>
        <w:t>predstavlja</w:t>
      </w:r>
      <w:r w:rsidRPr="00F33DEC">
        <w:t xml:space="preserve"> tudi dejstvo, da megatovornjaki potrebujejo več časa za vožnjo prek nivojskih prehodov, poleg tega se teža posledic prometnih nesreč povečuje s težo tovornjaka. »Vsi našteti dejavniki veljajo zlasti na območju Alp, kjer so ceste strme in vijugaste. Ker tranzitne poti v Alpah potekajo tudi skozi neštete vasi in ob vodotokih, prinaša vsak megatovornjak dodatno nevarnost tako za ljudi kot tudi naravo,« opozarja direktor CIPRE International Kaspar Schuler</w:t>
      </w:r>
      <w:r w:rsidRPr="00211299">
        <w:t xml:space="preserve">. </w:t>
      </w:r>
    </w:p>
    <w:p w14:paraId="215030AB" w14:textId="77777777" w:rsidR="005F4E61" w:rsidRDefault="005F4E61" w:rsidP="005F4E61">
      <w:pPr>
        <w:pStyle w:val="MMText"/>
        <w:ind w:right="1155"/>
      </w:pPr>
    </w:p>
    <w:p w14:paraId="1C67E205" w14:textId="77777777" w:rsidR="005F4E61" w:rsidRPr="00914127" w:rsidRDefault="005F4E61" w:rsidP="005F4E61">
      <w:pPr>
        <w:pStyle w:val="MMText"/>
        <w:ind w:right="1155"/>
        <w:rPr>
          <w:b/>
        </w:rPr>
      </w:pPr>
      <w:r>
        <w:rPr>
          <w:b/>
        </w:rPr>
        <w:t>Ceneje za prevoznike, dražje za davkoplačevalce</w:t>
      </w:r>
    </w:p>
    <w:p w14:paraId="5856A1BF" w14:textId="77777777" w:rsidR="005F4E61" w:rsidRDefault="005F4E61" w:rsidP="005F4E61">
      <w:pPr>
        <w:pStyle w:val="MMText"/>
        <w:ind w:right="1155"/>
      </w:pPr>
      <w:bookmarkStart w:id="2" w:name="_Hlk159381062"/>
      <w:r w:rsidRPr="00AE728E">
        <w:t xml:space="preserve">Megatovornjaki povzročajo precejšnje dodatne stroške za davkoplačevalce, saj bi bilo treba </w:t>
      </w:r>
      <w:r>
        <w:t xml:space="preserve">izvesti določene posege v cestno infrastrukturo, npr. </w:t>
      </w:r>
      <w:r w:rsidRPr="00AE728E">
        <w:t xml:space="preserve">razširiti križišča, </w:t>
      </w:r>
    </w:p>
    <w:p w14:paraId="0E88049E" w14:textId="77777777" w:rsidR="005F4E61" w:rsidRDefault="005F4E61" w:rsidP="005F4E61">
      <w:pPr>
        <w:pStyle w:val="MMText"/>
        <w:ind w:right="1155"/>
      </w:pPr>
    </w:p>
    <w:p w14:paraId="1325C7EA" w14:textId="77777777" w:rsidR="005F4E61" w:rsidRDefault="005F4E61" w:rsidP="005F4E61">
      <w:pPr>
        <w:pStyle w:val="MMText"/>
        <w:ind w:right="1155"/>
      </w:pPr>
    </w:p>
    <w:p w14:paraId="2B731D6C" w14:textId="77777777" w:rsidR="005F4E61" w:rsidRDefault="005F4E61" w:rsidP="005F4E61">
      <w:pPr>
        <w:pStyle w:val="MMText"/>
        <w:ind w:right="1155"/>
      </w:pPr>
    </w:p>
    <w:p w14:paraId="7A3C81A9" w14:textId="77777777" w:rsidR="005F4E61" w:rsidRDefault="005F4E61" w:rsidP="005F4E61">
      <w:pPr>
        <w:pStyle w:val="MMText"/>
        <w:ind w:right="1155"/>
      </w:pPr>
      <w:r w:rsidRPr="00AE728E">
        <w:t xml:space="preserve">krožišča, odstavne niše v predorih in </w:t>
      </w:r>
      <w:r>
        <w:t xml:space="preserve">povečati </w:t>
      </w:r>
      <w:r w:rsidRPr="00AE728E">
        <w:t xml:space="preserve">parkirna mesta </w:t>
      </w:r>
      <w:r w:rsidRPr="005A44A6">
        <w:t xml:space="preserve">za tovorna vozila. </w:t>
      </w:r>
      <w:r>
        <w:t xml:space="preserve">Ker bi se </w:t>
      </w:r>
      <w:r w:rsidRPr="005A44A6">
        <w:t>zaradi teže megatovornjakov povečal</w:t>
      </w:r>
      <w:r>
        <w:t>e</w:t>
      </w:r>
      <w:r w:rsidRPr="005A44A6">
        <w:t xml:space="preserve"> obremenitv</w:t>
      </w:r>
      <w:r>
        <w:t>e</w:t>
      </w:r>
      <w:r w:rsidRPr="005A44A6">
        <w:t xml:space="preserve"> mostov in cest</w:t>
      </w:r>
      <w:r>
        <w:t>, bi</w:t>
      </w:r>
      <w:r w:rsidRPr="005A44A6">
        <w:t xml:space="preserve"> </w:t>
      </w:r>
      <w:r>
        <w:t>n</w:t>
      </w:r>
      <w:r w:rsidRPr="005A44A6">
        <w:t>arasli stroški vzdrževanja. P</w:t>
      </w:r>
      <w:r>
        <w:t>ri tem je p</w:t>
      </w:r>
      <w:r w:rsidRPr="005A44A6">
        <w:t xml:space="preserve">aradoksalno, da bi se zaradi megatovornjakov tovorni promet pocenil, </w:t>
      </w:r>
      <w:r>
        <w:t xml:space="preserve">a bi se </w:t>
      </w:r>
      <w:r w:rsidRPr="005A44A6">
        <w:t xml:space="preserve">število voženj </w:t>
      </w:r>
      <w:r>
        <w:t xml:space="preserve">tovrstnih </w:t>
      </w:r>
      <w:r w:rsidRPr="005A44A6">
        <w:t>tovornjakov</w:t>
      </w:r>
      <w:r>
        <w:t xml:space="preserve"> </w:t>
      </w:r>
      <w:r w:rsidRPr="005A44A6">
        <w:t>povečalo</w:t>
      </w:r>
      <w:r>
        <w:t>. Z</w:t>
      </w:r>
      <w:r w:rsidRPr="005A44A6">
        <w:t xml:space="preserve">natno in trajno bi </w:t>
      </w:r>
      <w:r>
        <w:t xml:space="preserve">narasli </w:t>
      </w:r>
      <w:r w:rsidRPr="005A44A6">
        <w:t xml:space="preserve">tudi stroški v breme državnega proračuna. »Alpski tranzitni promet </w:t>
      </w:r>
      <w:r>
        <w:t>je</w:t>
      </w:r>
      <w:r w:rsidRPr="005A44A6">
        <w:t xml:space="preserve"> treba občutno zmanjšati, učinkoviteje </w:t>
      </w:r>
      <w:r w:rsidRPr="00AE728E">
        <w:t xml:space="preserve">upravljati in preusmeriti na okolju prijaznejše prometne poti, </w:t>
      </w:r>
      <w:r>
        <w:t xml:space="preserve">npr. </w:t>
      </w:r>
      <w:r w:rsidRPr="00AE728E">
        <w:t>železnic</w:t>
      </w:r>
      <w:r>
        <w:t>o</w:t>
      </w:r>
      <w:r w:rsidRPr="00AE728E">
        <w:t>,« opozarja Schuler. Konkretni predlogi, kot je npr. prodaja tovornih slotov na dražbi, ostajajo na mizi že vrsto let</w:t>
      </w:r>
      <w:bookmarkEnd w:id="2"/>
      <w:r w:rsidRPr="00914127">
        <w:t xml:space="preserve">. </w:t>
      </w:r>
    </w:p>
    <w:p w14:paraId="7E4730E5" w14:textId="77777777" w:rsidR="005F4E61" w:rsidRDefault="005F4E61" w:rsidP="005F4E61">
      <w:pPr>
        <w:pStyle w:val="MMText"/>
        <w:ind w:right="1155"/>
      </w:pPr>
      <w:bookmarkStart w:id="3" w:name="_GoBack"/>
    </w:p>
    <w:bookmarkEnd w:id="3"/>
    <w:p w14:paraId="0C2BAED1" w14:textId="77777777" w:rsidR="005F4E61" w:rsidRPr="005F4E61" w:rsidRDefault="005F4E61" w:rsidP="005F4E61">
      <w:pPr>
        <w:pStyle w:val="MMFusszeile"/>
        <w:spacing w:before="120"/>
        <w:ind w:right="1155"/>
        <w:contextualSpacing w:val="0"/>
        <w:jc w:val="both"/>
        <w:rPr>
          <w:color w:val="6E6B60"/>
          <w:u w:val="single"/>
        </w:rPr>
      </w:pPr>
      <w:r w:rsidRPr="005F4E61">
        <w:t>To sporočilo in fotografije v kakovosti, primerni za tisk, si lahko presnamete z naslednjega naslova</w:t>
      </w:r>
      <w:r w:rsidRPr="005F4E61">
        <w:rPr>
          <w:color w:val="6E6B60"/>
        </w:rPr>
        <w:t xml:space="preserve"> </w:t>
      </w:r>
      <w:hyperlink r:id="rId6" w:history="1">
        <w:r w:rsidRPr="005F4E61">
          <w:rPr>
            <w:color w:val="6E6B60"/>
            <w:u w:val="single"/>
          </w:rPr>
          <w:t>www.cipra.org/de/medienmitteilungen</w:t>
        </w:r>
      </w:hyperlink>
      <w:r w:rsidRPr="005F4E61">
        <w:rPr>
          <w:color w:val="6E6B60"/>
        </w:rPr>
        <w:t xml:space="preserve"> .</w:t>
      </w:r>
    </w:p>
    <w:p w14:paraId="02DE3184" w14:textId="77777777" w:rsidR="005F4E61" w:rsidRPr="005F4E61" w:rsidRDefault="005F4E61" w:rsidP="005F4E61">
      <w:pPr>
        <w:pStyle w:val="MMFusszeile"/>
        <w:spacing w:before="120"/>
        <w:ind w:right="1155"/>
        <w:contextualSpacing w:val="0"/>
        <w:jc w:val="both"/>
        <w:rPr>
          <w:color w:val="6E6B60"/>
        </w:rPr>
      </w:pPr>
      <w:r w:rsidRPr="005F4E61">
        <w:t>Za vprašanja je na voljo</w:t>
      </w:r>
      <w:r w:rsidRPr="005F4E61">
        <w:rPr>
          <w:color w:val="6E6B60"/>
        </w:rPr>
        <w:t>:</w:t>
      </w:r>
    </w:p>
    <w:p w14:paraId="211E412A" w14:textId="77777777" w:rsidR="005F4E61" w:rsidRPr="005F4E61" w:rsidRDefault="005F4E61" w:rsidP="005F4E61">
      <w:pPr>
        <w:pStyle w:val="MMFusszeile"/>
        <w:spacing w:before="120"/>
        <w:ind w:right="1155"/>
        <w:contextualSpacing w:val="0"/>
        <w:jc w:val="both"/>
        <w:rPr>
          <w:color w:val="6E6B60"/>
        </w:rPr>
      </w:pPr>
      <w:r w:rsidRPr="005F4E61">
        <w:rPr>
          <w:color w:val="6E6B60"/>
        </w:rPr>
        <w:t xml:space="preserve">Kaspar Schuler, </w:t>
      </w:r>
      <w:hyperlink r:id="rId7" w:history="1">
        <w:r w:rsidRPr="005F4E61">
          <w:rPr>
            <w:color w:val="6E6B60"/>
            <w:u w:val="single"/>
          </w:rPr>
          <w:t>kaspar.schuler@cipra.org</w:t>
        </w:r>
      </w:hyperlink>
      <w:r w:rsidRPr="005F4E61">
        <w:rPr>
          <w:color w:val="6E6B60"/>
        </w:rPr>
        <w:t>, +423 79 300 55</w:t>
      </w:r>
    </w:p>
    <w:p w14:paraId="20B6A22F" w14:textId="77777777" w:rsidR="005F4E61" w:rsidRPr="001D621E" w:rsidRDefault="005F4E61" w:rsidP="005F4E61">
      <w:pPr>
        <w:pStyle w:val="MMFusszeile"/>
        <w:spacing w:before="120"/>
        <w:ind w:right="1155"/>
        <w:contextualSpacing w:val="0"/>
        <w:jc w:val="both"/>
        <w:rPr>
          <w:color w:val="6E6B60"/>
        </w:rPr>
      </w:pPr>
    </w:p>
    <w:p w14:paraId="197898DA" w14:textId="77777777" w:rsidR="005F4E61" w:rsidRPr="00A92B2E" w:rsidRDefault="005F4E61" w:rsidP="005F4E61">
      <w:pPr>
        <w:pStyle w:val="Standard1"/>
        <w:shd w:val="clear" w:color="auto" w:fill="C0BDB4"/>
        <w:ind w:right="1155"/>
        <w:jc w:val="both"/>
        <w:rPr>
          <w:sz w:val="20"/>
          <w:szCs w:val="20"/>
          <w:lang w:val="sl-SI"/>
        </w:rPr>
      </w:pPr>
      <w:r w:rsidRPr="00A92B2E">
        <w:rPr>
          <w:b/>
          <w:sz w:val="20"/>
          <w:szCs w:val="20"/>
          <w:lang w:val="sl-SI"/>
        </w:rPr>
        <w:t>CIPRA – za kakovostno življenje v Alpah</w:t>
      </w:r>
    </w:p>
    <w:p w14:paraId="428CAA61" w14:textId="77777777" w:rsidR="005F4E61" w:rsidRPr="005F4E61" w:rsidRDefault="005F4E61" w:rsidP="005F4E61">
      <w:pPr>
        <w:shd w:val="clear" w:color="auto" w:fill="C0BDB4"/>
        <w:spacing w:line="280" w:lineRule="atLeast"/>
        <w:ind w:right="1155"/>
        <w:jc w:val="both"/>
        <w:rPr>
          <w:sz w:val="20"/>
          <w:szCs w:val="20"/>
          <w:lang w:val="sl-SI"/>
        </w:rPr>
      </w:pPr>
      <w:r w:rsidRPr="005F4E61">
        <w:rPr>
          <w:sz w:val="20"/>
          <w:szCs w:val="20"/>
          <w:lang w:val="sl-SI"/>
        </w:rPr>
        <w:t>Mednarodna komisija za varstvo Alp (CIPRA) je neprofitna, nevladna krovna organizacija z nacionalnimi odbori in regionalnim odborom v vseh sedmih alpskih državah. Zastopa več kot sto društev in organizacij. Delovanje CIPRE temelji na znanstveni podlagi z raznovrstnimi oblikami komunikacije, dvigom politične ozaveščenosti javnosti in iz prakse izhajajočimi projekti na področju trajnostnega razvoja. CIPRA se zavzema za ohranjanje naravne in kulturne dediščine, za krepitev regionalne raznovrstnosti in za skupno reševanje čezmejnih izzivov v alpskem prostoru.</w:t>
      </w:r>
    </w:p>
    <w:p w14:paraId="29711425" w14:textId="77777777" w:rsidR="005F4E61" w:rsidRPr="001D621E" w:rsidRDefault="005F4E61" w:rsidP="005F4E61">
      <w:pPr>
        <w:shd w:val="clear" w:color="auto" w:fill="C0BDB4"/>
        <w:spacing w:after="120" w:line="280" w:lineRule="atLeast"/>
        <w:ind w:right="1155"/>
        <w:jc w:val="both"/>
        <w:rPr>
          <w:sz w:val="20"/>
          <w:szCs w:val="20"/>
        </w:rPr>
      </w:pPr>
      <w:hyperlink r:id="rId8" w:history="1">
        <w:r w:rsidRPr="001D621E">
          <w:rPr>
            <w:rStyle w:val="Hyperlink"/>
            <w:sz w:val="20"/>
            <w:szCs w:val="20"/>
          </w:rPr>
          <w:t>www.cipra.org</w:t>
        </w:r>
      </w:hyperlink>
    </w:p>
    <w:p w14:paraId="721E9F2A" w14:textId="77777777" w:rsidR="004A787B" w:rsidRPr="005F4E61" w:rsidRDefault="005F4E61" w:rsidP="005F4E61">
      <w:pPr>
        <w:rPr>
          <w:lang w:val="sl-SI"/>
        </w:rPr>
      </w:pPr>
    </w:p>
    <w:sectPr w:rsidR="004A787B" w:rsidRPr="005F4E6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659D" w14:textId="77777777" w:rsidR="005F4E61" w:rsidRDefault="005F4E61" w:rsidP="005F4E61">
      <w:pPr>
        <w:spacing w:after="0" w:line="240" w:lineRule="auto"/>
      </w:pPr>
      <w:r>
        <w:separator/>
      </w:r>
    </w:p>
  </w:endnote>
  <w:endnote w:type="continuationSeparator" w:id="0">
    <w:p w14:paraId="017EAE1C" w14:textId="77777777" w:rsidR="005F4E61" w:rsidRDefault="005F4E61" w:rsidP="005F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7902" w14:textId="77777777" w:rsidR="005F4E61" w:rsidRDefault="005F4E61" w:rsidP="005F4E61">
    <w:pPr>
      <w:pStyle w:val="Fuzeile"/>
      <w:spacing w:line="260" w:lineRule="exact"/>
      <w:ind w:left="-1276" w:right="-404"/>
      <w:rPr>
        <w:rFonts w:ascii="HelveticaNeueLTStd-Lt" w:hAnsi="HelveticaNeueLTStd-Lt" w:cs="HelveticaNeueLTStd-Lt"/>
        <w:color w:val="65653F"/>
        <w:spacing w:val="6"/>
        <w:sz w:val="16"/>
        <w:szCs w:val="16"/>
        <w:lang w:val="it-IT" w:eastAsia="de-DE"/>
      </w:rPr>
    </w:pPr>
  </w:p>
  <w:p w14:paraId="0F3C065D" w14:textId="77777777" w:rsidR="005F4E61" w:rsidRPr="009F28F7" w:rsidRDefault="005F4E61" w:rsidP="005F4E61">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0CCCDFF3" w14:textId="77777777" w:rsidR="005F4E61" w:rsidRPr="005F4E61" w:rsidRDefault="005F4E61" w:rsidP="005F4E61">
    <w:pPr>
      <w:pStyle w:val="Fuzeile"/>
      <w:spacing w:line="260" w:lineRule="exact"/>
      <w:ind w:left="-1276" w:right="-404"/>
      <w:rPr>
        <w:spacing w:val="6"/>
      </w:rPr>
    </w:pPr>
    <w:r>
      <w:rPr>
        <w:rFonts w:ascii="HelveticaNeueLTStd-Lt" w:hAnsi="HelveticaNeueLTStd-Lt" w:cs="HelveticaNeueLTStd-Lt"/>
        <w:color w:val="65653F"/>
        <w:spacing w:val="6"/>
        <w:sz w:val="16"/>
        <w:szCs w:val="16"/>
      </w:rPr>
      <w:t xml:space="preserve">Kirchstrasse </w:t>
    </w:r>
    <w:proofErr w:type="gramStart"/>
    <w:r>
      <w:rPr>
        <w:rFonts w:ascii="HelveticaNeueLTStd-Lt" w:hAnsi="HelveticaNeueLTStd-Lt" w:cs="HelveticaNeueLTStd-Lt"/>
        <w:color w:val="65653F"/>
        <w:spacing w:val="6"/>
        <w:sz w:val="16"/>
        <w:szCs w:val="16"/>
      </w:rPr>
      <w:t>5</w:t>
    </w:r>
    <w:r w:rsidRPr="00B940DE">
      <w:rPr>
        <w:rFonts w:ascii="HelveticaNeueLTStd-Lt" w:hAnsi="HelveticaNeueLTStd-Lt" w:cs="HelveticaNeueLTStd-Lt"/>
        <w:color w:val="65653F"/>
        <w:spacing w:val="6"/>
        <w:sz w:val="16"/>
        <w:szCs w:val="16"/>
      </w:rPr>
      <w:t xml:space="preserve">  ·</w:t>
    </w:r>
    <w:proofErr w:type="gramEnd"/>
    <w:r w:rsidRPr="00B940DE">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76BD" w14:textId="77777777" w:rsidR="005F4E61" w:rsidRDefault="005F4E61" w:rsidP="005F4E61">
      <w:pPr>
        <w:spacing w:after="0" w:line="240" w:lineRule="auto"/>
      </w:pPr>
      <w:r>
        <w:separator/>
      </w:r>
    </w:p>
  </w:footnote>
  <w:footnote w:type="continuationSeparator" w:id="0">
    <w:p w14:paraId="76EFBBFA" w14:textId="77777777" w:rsidR="005F4E61" w:rsidRDefault="005F4E61" w:rsidP="005F4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4804" w14:textId="77777777" w:rsidR="005F4E61" w:rsidRDefault="005F4E61">
    <w:pPr>
      <w:pStyle w:val="Kopfzeile"/>
    </w:pPr>
    <w:r>
      <w:rPr>
        <w:noProof/>
      </w:rPr>
      <w:drawing>
        <wp:anchor distT="0" distB="0" distL="114300" distR="114300" simplePos="0" relativeHeight="251658240" behindDoc="1" locked="0" layoutInCell="1" allowOverlap="1" wp14:anchorId="3E5011A7" wp14:editId="20C1FFB9">
          <wp:simplePos x="0" y="0"/>
          <wp:positionH relativeFrom="column">
            <wp:posOffset>-433070</wp:posOffset>
          </wp:positionH>
          <wp:positionV relativeFrom="paragraph">
            <wp:posOffset>-97155</wp:posOffset>
          </wp:positionV>
          <wp:extent cx="1504800" cy="644400"/>
          <wp:effectExtent l="0" t="0" r="635" b="3810"/>
          <wp:wrapTight wrapText="bothSides">
            <wp:wrapPolygon edited="0">
              <wp:start x="0" y="0"/>
              <wp:lineTo x="0" y="21089"/>
              <wp:lineTo x="21336" y="21089"/>
              <wp:lineTo x="213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RA-Logo-Claim-SLO-CMYK.jpg"/>
                  <pic:cNvPicPr/>
                </pic:nvPicPr>
                <pic:blipFill>
                  <a:blip r:embed="rId1">
                    <a:extLst>
                      <a:ext uri="{28A0092B-C50C-407E-A947-70E740481C1C}">
                        <a14:useLocalDpi xmlns:a14="http://schemas.microsoft.com/office/drawing/2010/main" val="0"/>
                      </a:ext>
                    </a:extLst>
                  </a:blip>
                  <a:stretch>
                    <a:fillRect/>
                  </a:stretch>
                </pic:blipFill>
                <pic:spPr>
                  <a:xfrm>
                    <a:off x="0" y="0"/>
                    <a:ext cx="15048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61"/>
    <w:rsid w:val="005F4E61"/>
    <w:rsid w:val="007D199C"/>
    <w:rsid w:val="00C437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8871B"/>
  <w15:chartTrackingRefBased/>
  <w15:docId w15:val="{AB2658CB-380D-42C1-82B1-5668FB41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4E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E61"/>
  </w:style>
  <w:style w:type="paragraph" w:styleId="Fuzeile">
    <w:name w:val="footer"/>
    <w:basedOn w:val="Standard"/>
    <w:link w:val="FuzeileZchn"/>
    <w:unhideWhenUsed/>
    <w:rsid w:val="005F4E61"/>
    <w:pPr>
      <w:tabs>
        <w:tab w:val="center" w:pos="4536"/>
        <w:tab w:val="right" w:pos="9072"/>
      </w:tabs>
      <w:spacing w:after="0" w:line="240" w:lineRule="auto"/>
    </w:pPr>
  </w:style>
  <w:style w:type="character" w:customStyle="1" w:styleId="FuzeileZchn">
    <w:name w:val="Fußzeile Zchn"/>
    <w:basedOn w:val="Absatz-Standardschriftart"/>
    <w:link w:val="Fuzeile"/>
    <w:rsid w:val="005F4E61"/>
  </w:style>
  <w:style w:type="paragraph" w:customStyle="1" w:styleId="MMTitel">
    <w:name w:val="MM Titel"/>
    <w:basedOn w:val="Standard"/>
    <w:next w:val="Standard"/>
    <w:autoRedefine/>
    <w:rsid w:val="005F4E61"/>
    <w:pPr>
      <w:spacing w:before="120" w:after="120" w:line="360" w:lineRule="auto"/>
    </w:pPr>
    <w:rPr>
      <w:rFonts w:ascii="Arial" w:eastAsia="Times New Roman" w:hAnsi="Arial" w:cs="Arial"/>
      <w:b/>
      <w:sz w:val="28"/>
      <w:szCs w:val="28"/>
      <w:lang w:val="sl-SI" w:eastAsia="de-DE"/>
    </w:rPr>
  </w:style>
  <w:style w:type="paragraph" w:customStyle="1" w:styleId="MMKopfzeile">
    <w:name w:val="MM Kopfzeile"/>
    <w:basedOn w:val="Standard"/>
    <w:autoRedefine/>
    <w:rsid w:val="005F4E61"/>
    <w:pPr>
      <w:spacing w:before="120" w:after="120" w:line="360" w:lineRule="auto"/>
    </w:pPr>
    <w:rPr>
      <w:rFonts w:ascii="Arial" w:eastAsia="Times New Roman" w:hAnsi="Arial" w:cs="Arial"/>
      <w:lang w:val="sl-SI" w:eastAsia="de-DE"/>
    </w:rPr>
  </w:style>
  <w:style w:type="character" w:styleId="Hyperlink">
    <w:name w:val="Hyperlink"/>
    <w:basedOn w:val="Absatz-Standardschriftart"/>
    <w:rsid w:val="005F4E61"/>
    <w:rPr>
      <w:color w:val="0563C1" w:themeColor="hyperlink"/>
      <w:u w:val="single"/>
    </w:rPr>
  </w:style>
  <w:style w:type="paragraph" w:customStyle="1" w:styleId="MMLead">
    <w:name w:val="MM Lead"/>
    <w:basedOn w:val="Standard"/>
    <w:next w:val="MMText"/>
    <w:autoRedefine/>
    <w:rsid w:val="005F4E61"/>
    <w:pPr>
      <w:spacing w:before="120" w:after="120" w:line="360" w:lineRule="auto"/>
      <w:jc w:val="both"/>
    </w:pPr>
    <w:rPr>
      <w:rFonts w:ascii="Arial" w:eastAsia="Times New Roman" w:hAnsi="Arial" w:cs="Arial"/>
      <w:b/>
      <w:lang w:val="sl-SI" w:eastAsia="de-DE"/>
    </w:rPr>
  </w:style>
  <w:style w:type="paragraph" w:customStyle="1" w:styleId="MMText">
    <w:name w:val="MM Text"/>
    <w:basedOn w:val="Standard"/>
    <w:autoRedefine/>
    <w:rsid w:val="005F4E61"/>
    <w:pPr>
      <w:spacing w:before="60" w:after="60" w:line="360" w:lineRule="auto"/>
      <w:contextualSpacing/>
      <w:jc w:val="both"/>
    </w:pPr>
    <w:rPr>
      <w:rFonts w:ascii="Arial" w:eastAsia="Times New Roman" w:hAnsi="Arial" w:cs="Arial"/>
      <w:lang w:val="sl-SI" w:eastAsia="de-DE"/>
    </w:rPr>
  </w:style>
  <w:style w:type="paragraph" w:customStyle="1" w:styleId="MMFusszeile">
    <w:name w:val="MM Fusszeile"/>
    <w:basedOn w:val="MMText"/>
    <w:autoRedefine/>
    <w:rsid w:val="005F4E61"/>
    <w:pPr>
      <w:spacing w:line="240" w:lineRule="auto"/>
      <w:jc w:val="left"/>
    </w:pPr>
    <w:rPr>
      <w:sz w:val="20"/>
      <w:szCs w:val="20"/>
    </w:rPr>
  </w:style>
  <w:style w:type="paragraph" w:customStyle="1" w:styleId="Standard1">
    <w:name w:val="Standard1"/>
    <w:rsid w:val="005F4E61"/>
    <w:pPr>
      <w:suppressAutoHyphens/>
      <w:autoSpaceDN w:val="0"/>
      <w:spacing w:after="0" w:line="240" w:lineRule="auto"/>
      <w:textAlignment w:val="baseline"/>
    </w:pPr>
    <w:rPr>
      <w:rFonts w:ascii="Arial" w:eastAsia="Times New Roman" w:hAnsi="Arial" w:cs="Arial"/>
      <w:kern w:val="3"/>
      <w:sz w:val="24"/>
      <w:szCs w:val="24"/>
      <w:lang w:eastAsia="de-DE"/>
    </w:rPr>
  </w:style>
  <w:style w:type="character" w:styleId="Kommentarzeichen">
    <w:name w:val="annotation reference"/>
    <w:basedOn w:val="Absatz-Standardschriftart"/>
    <w:semiHidden/>
    <w:unhideWhenUsed/>
    <w:rsid w:val="005F4E61"/>
    <w:rPr>
      <w:sz w:val="16"/>
      <w:szCs w:val="16"/>
    </w:rPr>
  </w:style>
  <w:style w:type="paragraph" w:styleId="Kommentartext">
    <w:name w:val="annotation text"/>
    <w:basedOn w:val="Standard"/>
    <w:link w:val="KommentartextZchn"/>
    <w:semiHidden/>
    <w:unhideWhenUsed/>
    <w:rsid w:val="005F4E61"/>
    <w:pPr>
      <w:spacing w:after="0" w:line="240" w:lineRule="auto"/>
    </w:pPr>
    <w:rPr>
      <w:rFonts w:ascii="Arial" w:eastAsia="Times New Roman" w:hAnsi="Arial" w:cs="Arial"/>
      <w:sz w:val="20"/>
      <w:szCs w:val="20"/>
      <w:lang w:val="sl-SI" w:eastAsia="de-DE"/>
    </w:rPr>
  </w:style>
  <w:style w:type="character" w:customStyle="1" w:styleId="KommentartextZchn">
    <w:name w:val="Kommentartext Zchn"/>
    <w:basedOn w:val="Absatz-Standardschriftart"/>
    <w:link w:val="Kommentartext"/>
    <w:semiHidden/>
    <w:rsid w:val="005F4E61"/>
    <w:rPr>
      <w:rFonts w:ascii="Arial" w:eastAsia="Times New Roman" w:hAnsi="Arial" w:cs="Arial"/>
      <w:sz w:val="20"/>
      <w:szCs w:val="20"/>
      <w:lang w:val="sl-SI" w:eastAsia="de-DE"/>
    </w:rPr>
  </w:style>
  <w:style w:type="paragraph" w:styleId="Sprechblasentext">
    <w:name w:val="Balloon Text"/>
    <w:basedOn w:val="Standard"/>
    <w:link w:val="SprechblasentextZchn"/>
    <w:uiPriority w:val="99"/>
    <w:semiHidden/>
    <w:unhideWhenUsed/>
    <w:rsid w:val="005F4E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 TargetMode="External"/><Relationship Id="rId3" Type="http://schemas.openxmlformats.org/officeDocument/2006/relationships/webSettings" Target="webSettings.xml"/><Relationship Id="rId7" Type="http://schemas.openxmlformats.org/officeDocument/2006/relationships/hyperlink" Target="mailto:kaspar.schuler@cipr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pra.org/de/medienmitteilun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Mahlknecht</dc:creator>
  <cp:keywords/>
  <dc:description/>
  <cp:lastModifiedBy>Sophie Mahlknecht</cp:lastModifiedBy>
  <cp:revision>1</cp:revision>
  <cp:lastPrinted>2024-02-21T12:58:00Z</cp:lastPrinted>
  <dcterms:created xsi:type="dcterms:W3CDTF">2024-02-21T12:53:00Z</dcterms:created>
  <dcterms:modified xsi:type="dcterms:W3CDTF">2024-02-21T12:58:00Z</dcterms:modified>
</cp:coreProperties>
</file>