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5B" w:rsidRPr="00254F05" w:rsidRDefault="00887B5B" w:rsidP="00254F05">
      <w:pPr>
        <w:spacing w:after="240"/>
        <w:outlineLvl w:val="0"/>
        <w:rPr>
          <w:rFonts w:ascii="Times New Roman" w:hAnsi="Times New Roman"/>
          <w:lang w:val="it-IT" w:eastAsia="de-AT"/>
        </w:rPr>
      </w:pPr>
      <w:r w:rsidRPr="00254F05">
        <w:rPr>
          <w:rFonts w:ascii="Arial" w:hAnsi="Arial" w:cs="Arial"/>
          <w:color w:val="6E6B60"/>
          <w:sz w:val="22"/>
          <w:szCs w:val="22"/>
          <w:lang w:val="it-IT" w:eastAsia="de-AT"/>
        </w:rPr>
        <w:t>Schaan, 1 settembre 2020</w:t>
      </w:r>
    </w:p>
    <w:p w:rsidR="00887B5B" w:rsidRPr="00254F05" w:rsidRDefault="00887B5B" w:rsidP="00254F05">
      <w:pPr>
        <w:spacing w:before="240" w:after="240"/>
        <w:rPr>
          <w:rFonts w:ascii="Times New Roman" w:hAnsi="Times New Roman"/>
          <w:lang w:val="it-IT" w:eastAsia="de-AT"/>
        </w:rPr>
      </w:pPr>
      <w:r w:rsidRPr="00254F05">
        <w:rPr>
          <w:rFonts w:ascii="Arial" w:hAnsi="Arial" w:cs="Arial"/>
          <w:color w:val="6E6B60"/>
          <w:sz w:val="22"/>
          <w:szCs w:val="22"/>
          <w:lang w:val="it-IT" w:eastAsia="de-AT"/>
        </w:rPr>
        <w:t xml:space="preserve">Comunicato stampa: la CIPRA chiede un rapido accordo sulla direttiva </w:t>
      </w:r>
      <w:proofErr w:type="spellStart"/>
      <w:r w:rsidRPr="00254F05">
        <w:rPr>
          <w:rFonts w:ascii="Arial" w:hAnsi="Arial" w:cs="Arial"/>
          <w:color w:val="6E6B60"/>
          <w:sz w:val="22"/>
          <w:szCs w:val="22"/>
          <w:lang w:val="it-IT" w:eastAsia="de-AT"/>
        </w:rPr>
        <w:t>Eurovignetta</w:t>
      </w:r>
      <w:proofErr w:type="spellEnd"/>
    </w:p>
    <w:p w:rsidR="00887B5B" w:rsidRPr="00254F05" w:rsidRDefault="00887B5B" w:rsidP="00254F05">
      <w:pPr>
        <w:spacing w:before="120" w:after="120" w:line="360" w:lineRule="auto"/>
        <w:outlineLvl w:val="0"/>
        <w:rPr>
          <w:rFonts w:ascii="Arial" w:hAnsi="Arial" w:cs="Arial"/>
          <w:b/>
          <w:color w:val="A2BF2F"/>
          <w:sz w:val="28"/>
          <w:szCs w:val="28"/>
          <w:lang w:val="it-IT" w:eastAsia="de-DE"/>
        </w:rPr>
      </w:pPr>
      <w:r w:rsidRPr="00254F05">
        <w:rPr>
          <w:rFonts w:ascii="Arial" w:hAnsi="Arial" w:cs="Arial"/>
          <w:b/>
          <w:color w:val="A2BF2F"/>
          <w:sz w:val="28"/>
          <w:szCs w:val="28"/>
          <w:lang w:val="it-IT" w:eastAsia="de-DE"/>
        </w:rPr>
        <w:t>Il trasporto merci deve essere trasferito su rotaia</w:t>
      </w:r>
    </w:p>
    <w:p w:rsidR="00887B5B" w:rsidRPr="00254F05" w:rsidRDefault="00887B5B" w:rsidP="00254F05">
      <w:pPr>
        <w:spacing w:before="240" w:after="240"/>
        <w:rPr>
          <w:rFonts w:ascii="Arial" w:hAnsi="Arial" w:cs="Arial"/>
          <w:b/>
          <w:bCs/>
          <w:color w:val="000000"/>
          <w:sz w:val="22"/>
          <w:szCs w:val="22"/>
          <w:lang w:val="it-IT" w:eastAsia="de-AT"/>
        </w:rPr>
      </w:pPr>
      <w:r w:rsidRPr="00254F05">
        <w:rPr>
          <w:rFonts w:ascii="Arial" w:hAnsi="Arial" w:cs="Arial"/>
          <w:b/>
          <w:bCs/>
          <w:color w:val="000000"/>
          <w:sz w:val="22"/>
          <w:szCs w:val="22"/>
          <w:lang w:val="it-IT" w:eastAsia="de-AT"/>
        </w:rPr>
        <w:t xml:space="preserve">L’accordo sulla direttiva sui costi delle infrastrutture (direttiva </w:t>
      </w:r>
      <w:proofErr w:type="spellStart"/>
      <w:r w:rsidRPr="00254F05">
        <w:rPr>
          <w:rFonts w:ascii="Arial" w:hAnsi="Arial" w:cs="Arial"/>
          <w:b/>
          <w:bCs/>
          <w:color w:val="000000"/>
          <w:sz w:val="22"/>
          <w:szCs w:val="22"/>
          <w:lang w:val="it-IT" w:eastAsia="de-AT"/>
        </w:rPr>
        <w:t>Eurovignetta</w:t>
      </w:r>
      <w:proofErr w:type="spellEnd"/>
      <w:r w:rsidRPr="00254F05">
        <w:rPr>
          <w:rFonts w:ascii="Arial" w:hAnsi="Arial" w:cs="Arial"/>
          <w:b/>
          <w:bCs/>
          <w:color w:val="000000"/>
          <w:sz w:val="22"/>
          <w:szCs w:val="22"/>
          <w:lang w:val="it-IT" w:eastAsia="de-AT"/>
        </w:rPr>
        <w:t>) non può più essere rimandato. La CIPRA Internazionale e la rete “</w:t>
      </w:r>
      <w:proofErr w:type="spellStart"/>
      <w:r w:rsidRPr="00254F05">
        <w:rPr>
          <w:rFonts w:ascii="Arial" w:hAnsi="Arial" w:cs="Arial"/>
          <w:b/>
          <w:bCs/>
          <w:color w:val="000000"/>
          <w:sz w:val="22"/>
          <w:szCs w:val="22"/>
          <w:lang w:val="it-IT" w:eastAsia="de-AT"/>
        </w:rPr>
        <w:t>iMonitraf</w:t>
      </w:r>
      <w:proofErr w:type="spellEnd"/>
      <w:r w:rsidRPr="00254F05">
        <w:rPr>
          <w:rFonts w:ascii="Arial" w:hAnsi="Arial" w:cs="Arial"/>
          <w:b/>
          <w:bCs/>
          <w:color w:val="000000"/>
          <w:sz w:val="22"/>
          <w:szCs w:val="22"/>
          <w:lang w:val="it-IT" w:eastAsia="de-AT"/>
        </w:rPr>
        <w:t>!” chiedono quindi un rapido accordo per mitigare l’impatto sull’uomo e la natura. Occorre garantire il conseguimento dell’obiettivo della direttiva: il trasporto merci deve essere trasferito su rotaia.</w:t>
      </w:r>
    </w:p>
    <w:p w:rsidR="00887B5B" w:rsidRPr="00254F05" w:rsidRDefault="00887B5B" w:rsidP="00254F05">
      <w:pPr>
        <w:spacing w:before="240" w:after="240"/>
        <w:rPr>
          <w:rFonts w:ascii="Arial" w:hAnsi="Arial" w:cs="Arial"/>
          <w:color w:val="000000"/>
          <w:sz w:val="22"/>
          <w:szCs w:val="22"/>
          <w:lang w:val="it-IT" w:eastAsia="de-AT"/>
        </w:rPr>
      </w:pPr>
      <w:r>
        <w:rPr>
          <w:rFonts w:ascii="Arial" w:hAnsi="Arial" w:cs="Arial"/>
          <w:color w:val="000000"/>
          <w:sz w:val="22"/>
          <w:szCs w:val="22"/>
          <w:lang w:val="it-IT" w:eastAsia="de-AT"/>
        </w:rPr>
        <w:t>Quello</w:t>
      </w:r>
      <w:r w:rsidRPr="00254F05">
        <w:rPr>
          <w:rFonts w:ascii="Arial" w:hAnsi="Arial" w:cs="Arial"/>
          <w:color w:val="000000"/>
          <w:sz w:val="22"/>
          <w:szCs w:val="22"/>
          <w:lang w:val="it-IT" w:eastAsia="de-AT"/>
        </w:rPr>
        <w:t xml:space="preserve"> che il Parlamento europeo aveva già approvato nell’ottobre 2018, con la sua ambiziosa proposta di revisione della direttiva sui costi delle infrastrutture, deve ora essere portato a termine dalla Presidenza tedesca del Consiglio dell’UE. Il ministro dei Trasporti tedesco </w:t>
      </w:r>
      <w:proofErr w:type="spellStart"/>
      <w:r w:rsidRPr="00254F05">
        <w:rPr>
          <w:rFonts w:ascii="Arial" w:hAnsi="Arial" w:cs="Arial"/>
          <w:color w:val="000000"/>
          <w:sz w:val="22"/>
          <w:szCs w:val="22"/>
          <w:lang w:val="it-IT" w:eastAsia="de-AT"/>
        </w:rPr>
        <w:t>Scheuer</w:t>
      </w:r>
      <w:proofErr w:type="spellEnd"/>
      <w:r w:rsidRPr="00254F05">
        <w:rPr>
          <w:rFonts w:ascii="Arial" w:hAnsi="Arial" w:cs="Arial"/>
          <w:color w:val="000000"/>
          <w:sz w:val="22"/>
          <w:szCs w:val="22"/>
          <w:lang w:val="it-IT" w:eastAsia="de-AT"/>
        </w:rPr>
        <w:t xml:space="preserve"> ha tuttavia avanzato la proposta che i cosiddetti veicoli a emissioni zero siano esentati da tutti i pedaggi. Su questa base i ministri dei trasporti dell’UE potrebbero trovare un accordo nella riunione del Consiglio del 28 settembre 2020.</w:t>
      </w:r>
    </w:p>
    <w:p w:rsidR="00887B5B" w:rsidRPr="00254F05" w:rsidRDefault="00887B5B" w:rsidP="00254F05">
      <w:pPr>
        <w:spacing w:before="60" w:after="240"/>
        <w:rPr>
          <w:rFonts w:ascii="Arial" w:hAnsi="Arial" w:cs="Arial"/>
          <w:color w:val="000000"/>
          <w:sz w:val="22"/>
          <w:szCs w:val="22"/>
          <w:lang w:val="it-IT" w:eastAsia="de-AT"/>
        </w:rPr>
      </w:pPr>
      <w:r w:rsidRPr="00254F05">
        <w:rPr>
          <w:rFonts w:ascii="Arial" w:hAnsi="Arial" w:cs="Arial"/>
          <w:color w:val="000000"/>
          <w:sz w:val="22"/>
          <w:szCs w:val="22"/>
          <w:lang w:val="it-IT" w:eastAsia="de-AT"/>
        </w:rPr>
        <w:t>In linea di principio la CIPRA accoglie con favore la differenziazione dei pedaggi in base alle emissioni di CO</w:t>
      </w:r>
      <w:r w:rsidRPr="00254F05">
        <w:rPr>
          <w:rFonts w:ascii="Arial" w:hAnsi="Arial" w:cs="Arial"/>
          <w:color w:val="000000"/>
          <w:sz w:val="22"/>
          <w:szCs w:val="22"/>
          <w:vertAlign w:val="subscript"/>
          <w:lang w:val="it-IT" w:eastAsia="de-AT"/>
        </w:rPr>
        <w:t>2</w:t>
      </w:r>
      <w:r w:rsidRPr="00254F05">
        <w:rPr>
          <w:rFonts w:ascii="Arial" w:hAnsi="Arial" w:cs="Arial"/>
          <w:color w:val="000000"/>
          <w:sz w:val="22"/>
          <w:szCs w:val="22"/>
          <w:lang w:val="it-IT" w:eastAsia="de-AT"/>
        </w:rPr>
        <w:t xml:space="preserve">, perché essa contribuisce anche al conseguimento degli obiettivi del “Green deal” europeo. Ciò non deve però compromettere l’obiettivo principale che consiste nel trasferire il traffico dalla strada alla ferrovia, come sottolinea Kaspar </w:t>
      </w:r>
      <w:proofErr w:type="spellStart"/>
      <w:r w:rsidRPr="00254F05">
        <w:rPr>
          <w:rFonts w:ascii="Arial" w:hAnsi="Arial" w:cs="Arial"/>
          <w:color w:val="000000"/>
          <w:sz w:val="22"/>
          <w:szCs w:val="22"/>
          <w:lang w:val="it-IT" w:eastAsia="de-AT"/>
        </w:rPr>
        <w:t>Schuler</w:t>
      </w:r>
      <w:proofErr w:type="spellEnd"/>
      <w:r w:rsidRPr="00254F05">
        <w:rPr>
          <w:rFonts w:ascii="Arial" w:hAnsi="Arial" w:cs="Arial"/>
          <w:color w:val="000000"/>
          <w:sz w:val="22"/>
          <w:szCs w:val="22"/>
          <w:lang w:val="it-IT" w:eastAsia="de-AT"/>
        </w:rPr>
        <w:t xml:space="preserve">, </w:t>
      </w:r>
      <w:proofErr w:type="spellStart"/>
      <w:r w:rsidRPr="00254F05">
        <w:rPr>
          <w:rFonts w:ascii="Arial" w:hAnsi="Arial" w:cs="Arial"/>
          <w:color w:val="000000"/>
          <w:sz w:val="22"/>
          <w:szCs w:val="22"/>
          <w:lang w:val="it-IT" w:eastAsia="de-AT"/>
        </w:rPr>
        <w:t>codirettore</w:t>
      </w:r>
      <w:proofErr w:type="spellEnd"/>
      <w:r w:rsidRPr="00254F05">
        <w:rPr>
          <w:rFonts w:ascii="Arial" w:hAnsi="Arial" w:cs="Arial"/>
          <w:color w:val="000000"/>
          <w:sz w:val="22"/>
          <w:szCs w:val="22"/>
          <w:lang w:val="it-IT" w:eastAsia="de-AT"/>
        </w:rPr>
        <w:t xml:space="preserve"> della CIPRA: “Anche se le emissioni medie dei veicoli continuano a diminuire grazie ai nuovi motori, il pedaggio deve essere basato sul principio di </w:t>
      </w:r>
      <w:r w:rsidRPr="00254F05">
        <w:rPr>
          <w:rFonts w:ascii="Arial" w:hAnsi="Arial" w:cs="Arial"/>
          <w:color w:val="000000"/>
          <w:sz w:val="22"/>
          <w:szCs w:val="22"/>
          <w:lang w:val="it-IT" w:eastAsia="de-CH"/>
        </w:rPr>
        <w:t>causalità</w:t>
      </w:r>
      <w:r w:rsidRPr="00254F05">
        <w:rPr>
          <w:rFonts w:ascii="Arial" w:hAnsi="Arial" w:cs="Arial"/>
          <w:color w:val="000000"/>
          <w:sz w:val="22"/>
          <w:szCs w:val="22"/>
          <w:lang w:val="it-IT" w:eastAsia="de-AT"/>
        </w:rPr>
        <w:t xml:space="preserve">. I costi collegati al rumore, alla congestione e l’aumento dei costi infrastrutturali sono generati anche dai veicoli a basse emissioni – anche a questa categoria devono pertanto essere addebitati. Solo una sostanziale tassazione di tutti i veicoli pesanti può garantire un effettivo trasferimento </w:t>
      </w:r>
      <w:r>
        <w:rPr>
          <w:rFonts w:ascii="Arial" w:hAnsi="Arial" w:cs="Arial"/>
          <w:color w:val="000000"/>
          <w:sz w:val="22"/>
          <w:szCs w:val="22"/>
          <w:lang w:val="it-IT" w:eastAsia="de-AT"/>
        </w:rPr>
        <w:t xml:space="preserve">del trasporto merci </w:t>
      </w:r>
      <w:r w:rsidRPr="00254F05">
        <w:rPr>
          <w:rFonts w:ascii="Arial" w:hAnsi="Arial" w:cs="Arial"/>
          <w:color w:val="000000"/>
          <w:sz w:val="22"/>
          <w:szCs w:val="22"/>
          <w:lang w:val="it-IT" w:eastAsia="de-AT"/>
        </w:rPr>
        <w:t>dalla strada alla rotaia”.</w:t>
      </w:r>
    </w:p>
    <w:p w:rsidR="00887B5B" w:rsidRPr="00254F05" w:rsidRDefault="00887B5B" w:rsidP="00254F05">
      <w:pPr>
        <w:spacing w:before="60" w:after="240"/>
        <w:outlineLvl w:val="0"/>
        <w:rPr>
          <w:rFonts w:ascii="Times New Roman" w:hAnsi="Times New Roman"/>
          <w:lang w:val="it-IT" w:eastAsia="de-AT"/>
        </w:rPr>
      </w:pPr>
      <w:r w:rsidRPr="00254F05">
        <w:rPr>
          <w:rFonts w:ascii="Arial" w:hAnsi="Arial" w:cs="Arial"/>
          <w:b/>
          <w:bCs/>
          <w:color w:val="000000"/>
          <w:sz w:val="22"/>
          <w:szCs w:val="22"/>
          <w:lang w:val="it-IT" w:eastAsia="de-CH"/>
        </w:rPr>
        <w:t>Tre richieste per la protezione delle regioni alpine</w:t>
      </w:r>
      <w:r w:rsidRPr="00254F05">
        <w:rPr>
          <w:rFonts w:ascii="Arial" w:hAnsi="Arial" w:cs="Arial"/>
          <w:b/>
          <w:bCs/>
          <w:color w:val="000000"/>
          <w:sz w:val="22"/>
          <w:szCs w:val="22"/>
          <w:lang w:val="it-IT" w:eastAsia="de-AT"/>
        </w:rPr>
        <w:t xml:space="preserve"> </w:t>
      </w:r>
    </w:p>
    <w:p w:rsidR="00887B5B" w:rsidRPr="00254F05" w:rsidRDefault="00887B5B" w:rsidP="00254F05">
      <w:pPr>
        <w:spacing w:before="60" w:after="240"/>
        <w:rPr>
          <w:rFonts w:ascii="Arial" w:hAnsi="Arial" w:cs="Arial"/>
          <w:color w:val="000000"/>
          <w:sz w:val="22"/>
          <w:szCs w:val="22"/>
          <w:lang w:val="it-IT" w:eastAsia="de-AT"/>
        </w:rPr>
      </w:pPr>
      <w:r w:rsidRPr="00254F05">
        <w:rPr>
          <w:rFonts w:ascii="Arial" w:hAnsi="Arial" w:cs="Arial"/>
          <w:color w:val="000000"/>
          <w:sz w:val="22"/>
          <w:szCs w:val="22"/>
          <w:lang w:val="it-IT" w:eastAsia="de-AT"/>
        </w:rPr>
        <w:t xml:space="preserve">A nome della popolazione alpina </w:t>
      </w:r>
      <w:r>
        <w:rPr>
          <w:rFonts w:ascii="Arial" w:hAnsi="Arial" w:cs="Arial"/>
          <w:color w:val="000000"/>
          <w:sz w:val="22"/>
          <w:szCs w:val="22"/>
          <w:lang w:val="it-IT" w:eastAsia="de-AT"/>
        </w:rPr>
        <w:t xml:space="preserve">sottoposta </w:t>
      </w:r>
      <w:r w:rsidRPr="00254F05">
        <w:rPr>
          <w:rFonts w:ascii="Arial" w:hAnsi="Arial" w:cs="Arial"/>
          <w:color w:val="000000"/>
          <w:sz w:val="22"/>
          <w:szCs w:val="22"/>
          <w:lang w:val="it-IT" w:eastAsia="de-AT"/>
        </w:rPr>
        <w:t xml:space="preserve">al rumore </w:t>
      </w:r>
      <w:proofErr w:type="gramStart"/>
      <w:r w:rsidRPr="00254F05">
        <w:rPr>
          <w:rFonts w:ascii="Arial" w:hAnsi="Arial" w:cs="Arial"/>
          <w:color w:val="000000"/>
          <w:sz w:val="22"/>
          <w:szCs w:val="22"/>
          <w:lang w:val="it-IT" w:eastAsia="de-AT"/>
        </w:rPr>
        <w:t>e</w:t>
      </w:r>
      <w:r>
        <w:rPr>
          <w:rFonts w:ascii="Arial" w:hAnsi="Arial" w:cs="Arial"/>
          <w:color w:val="000000"/>
          <w:sz w:val="22"/>
          <w:szCs w:val="22"/>
          <w:lang w:val="it-IT" w:eastAsia="de-AT"/>
        </w:rPr>
        <w:t>d  a</w:t>
      </w:r>
      <w:r w:rsidRPr="00254F05">
        <w:rPr>
          <w:rFonts w:ascii="Arial" w:hAnsi="Arial" w:cs="Arial"/>
          <w:color w:val="000000"/>
          <w:sz w:val="22"/>
          <w:szCs w:val="22"/>
          <w:lang w:val="it-IT" w:eastAsia="de-AT"/>
        </w:rPr>
        <w:t>i</w:t>
      </w:r>
      <w:proofErr w:type="gramEnd"/>
      <w:r w:rsidRPr="00254F05">
        <w:rPr>
          <w:rFonts w:ascii="Arial" w:hAnsi="Arial" w:cs="Arial"/>
          <w:color w:val="000000"/>
          <w:sz w:val="22"/>
          <w:szCs w:val="22"/>
          <w:lang w:val="it-IT" w:eastAsia="de-AT"/>
        </w:rPr>
        <w:t xml:space="preserve"> gas di scarico, la CIPRA Commissione Internazionale per la Protezione delle Alpi e le </w:t>
      </w:r>
      <w:r>
        <w:rPr>
          <w:rFonts w:ascii="Arial" w:hAnsi="Arial" w:cs="Arial"/>
          <w:color w:val="000000"/>
          <w:sz w:val="22"/>
          <w:szCs w:val="22"/>
          <w:lang w:val="it-IT" w:eastAsia="de-AT"/>
        </w:rPr>
        <w:t xml:space="preserve">oltre </w:t>
      </w:r>
      <w:r w:rsidRPr="00254F05">
        <w:rPr>
          <w:rFonts w:ascii="Arial" w:hAnsi="Arial" w:cs="Arial"/>
          <w:color w:val="000000"/>
          <w:sz w:val="22"/>
          <w:szCs w:val="22"/>
          <w:lang w:val="it-IT" w:eastAsia="de-AT"/>
        </w:rPr>
        <w:t xml:space="preserve">100 organizzazioni che ne fanno parte, insieme alla rete </w:t>
      </w:r>
      <w:proofErr w:type="spellStart"/>
      <w:r w:rsidRPr="00254F05">
        <w:rPr>
          <w:rFonts w:ascii="Arial" w:hAnsi="Arial" w:cs="Arial"/>
          <w:color w:val="000000"/>
          <w:sz w:val="22"/>
          <w:szCs w:val="22"/>
          <w:lang w:val="it-IT" w:eastAsia="de-AT"/>
        </w:rPr>
        <w:t>iMonitraf</w:t>
      </w:r>
      <w:proofErr w:type="spellEnd"/>
      <w:r w:rsidRPr="00254F05">
        <w:rPr>
          <w:rFonts w:ascii="Arial" w:hAnsi="Arial" w:cs="Arial"/>
          <w:color w:val="000000"/>
          <w:sz w:val="22"/>
          <w:szCs w:val="22"/>
          <w:lang w:val="it-IT" w:eastAsia="de-AT"/>
        </w:rPr>
        <w:t xml:space="preserve">! (www.imonitraf.org), che collega le regioni alpine lungo i principali corridoi di transito, rivolge un appello ai ministri dei trasporti, della </w:t>
      </w:r>
      <w:r w:rsidRPr="00254F05">
        <w:rPr>
          <w:rFonts w:ascii="Arial" w:hAnsi="Arial" w:cs="Arial"/>
          <w:sz w:val="22"/>
          <w:szCs w:val="22"/>
          <w:lang w:val="it-IT" w:eastAsia="de-AT"/>
        </w:rPr>
        <w:t xml:space="preserve">salute </w:t>
      </w:r>
      <w:r w:rsidRPr="00254F05">
        <w:rPr>
          <w:rFonts w:ascii="Arial" w:hAnsi="Arial" w:cs="Arial"/>
          <w:color w:val="000000"/>
          <w:sz w:val="22"/>
          <w:szCs w:val="22"/>
          <w:lang w:val="it-IT" w:eastAsia="de-AT"/>
        </w:rPr>
        <w:t xml:space="preserve">e dell’ambiente degli Stati alpini. Le richieste dettagliate sono riportate nel </w:t>
      </w:r>
      <w:hyperlink r:id="rId7" w:history="1">
        <w:r w:rsidRPr="00254F05">
          <w:rPr>
            <w:rFonts w:ascii="Arial" w:hAnsi="Arial" w:cs="Arial"/>
            <w:color w:val="0000FF"/>
            <w:sz w:val="22"/>
            <w:szCs w:val="22"/>
            <w:u w:val="single"/>
            <w:lang w:val="it-IT" w:eastAsia="de-AT"/>
          </w:rPr>
          <w:t>documento di posizione</w:t>
        </w:r>
      </w:hyperlink>
      <w:r w:rsidRPr="00254F05">
        <w:rPr>
          <w:rFonts w:ascii="Arial" w:hAnsi="Arial" w:cs="Arial"/>
          <w:color w:val="000000"/>
          <w:sz w:val="22"/>
          <w:szCs w:val="22"/>
          <w:lang w:val="it-IT" w:eastAsia="de-AT"/>
        </w:rPr>
        <w:t xml:space="preserve"> congiunto.</w:t>
      </w:r>
    </w:p>
    <w:p w:rsidR="00887B5B" w:rsidRPr="00254F05" w:rsidRDefault="00887B5B" w:rsidP="00254F05">
      <w:pPr>
        <w:spacing w:before="60" w:after="240"/>
        <w:rPr>
          <w:rFonts w:ascii="Arial" w:hAnsi="Arial" w:cs="Arial"/>
          <w:b/>
          <w:bCs/>
          <w:color w:val="000000"/>
          <w:sz w:val="22"/>
          <w:szCs w:val="22"/>
          <w:lang w:val="it-IT" w:eastAsia="de-AT"/>
        </w:rPr>
      </w:pPr>
      <w:r w:rsidRPr="00254F05">
        <w:rPr>
          <w:rFonts w:ascii="Arial" w:hAnsi="Arial" w:cs="Arial"/>
          <w:b/>
          <w:bCs/>
          <w:color w:val="000000"/>
          <w:sz w:val="22"/>
          <w:szCs w:val="22"/>
          <w:lang w:val="it-IT" w:eastAsia="de-AT"/>
        </w:rPr>
        <w:t>Tre elementi essenziali della direttiva sui costi delle infrastrutture devono essere mantenuti e rafforzati</w:t>
      </w:r>
    </w:p>
    <w:p w:rsidR="00887B5B" w:rsidRPr="00254F05" w:rsidRDefault="00887B5B" w:rsidP="00254F05">
      <w:pPr>
        <w:numPr>
          <w:ilvl w:val="0"/>
          <w:numId w:val="2"/>
        </w:numPr>
        <w:spacing w:before="60" w:after="240"/>
        <w:rPr>
          <w:rFonts w:ascii="Arial" w:hAnsi="Arial" w:cs="Arial"/>
          <w:color w:val="000000"/>
          <w:sz w:val="22"/>
          <w:szCs w:val="22"/>
          <w:lang w:val="it-IT" w:eastAsia="de-AT"/>
        </w:rPr>
      </w:pPr>
      <w:r w:rsidRPr="00254F05">
        <w:rPr>
          <w:rFonts w:ascii="Arial" w:hAnsi="Arial" w:cs="Arial"/>
          <w:color w:val="000000"/>
          <w:sz w:val="22"/>
          <w:szCs w:val="22"/>
          <w:lang w:val="it-IT" w:eastAsia="de-AT"/>
        </w:rPr>
        <w:t>È essenziale creare gli incentivi adeguati per un trasferimento modale e contribuire così alla trasparenza dei costi del trasporto su strada. Ciò richiede una sostanziale maggiorazione dei pedaggi (il cosiddetto “</w:t>
      </w:r>
      <w:proofErr w:type="spellStart"/>
      <w:r w:rsidRPr="00254F05">
        <w:rPr>
          <w:rFonts w:ascii="Arial" w:hAnsi="Arial" w:cs="Arial"/>
          <w:color w:val="000000"/>
          <w:sz w:val="22"/>
          <w:szCs w:val="22"/>
          <w:lang w:val="it-IT" w:eastAsia="de-AT"/>
        </w:rPr>
        <w:t>mark</w:t>
      </w:r>
      <w:proofErr w:type="spellEnd"/>
      <w:r w:rsidRPr="00254F05">
        <w:rPr>
          <w:rFonts w:ascii="Arial" w:hAnsi="Arial" w:cs="Arial"/>
          <w:color w:val="000000"/>
          <w:sz w:val="22"/>
          <w:szCs w:val="22"/>
          <w:lang w:val="it-IT" w:eastAsia="de-AT"/>
        </w:rPr>
        <w:t xml:space="preserve"> up”) per le regioni di montagna su tutti i corridoi di transito alpini.</w:t>
      </w:r>
    </w:p>
    <w:p w:rsidR="00887B5B" w:rsidRPr="00254F05" w:rsidRDefault="00887B5B" w:rsidP="00254F05">
      <w:pPr>
        <w:numPr>
          <w:ilvl w:val="0"/>
          <w:numId w:val="2"/>
        </w:numPr>
        <w:spacing w:before="60" w:after="240"/>
        <w:rPr>
          <w:rFonts w:ascii="Arial" w:hAnsi="Arial" w:cs="Arial"/>
          <w:color w:val="000000"/>
          <w:sz w:val="22"/>
          <w:szCs w:val="22"/>
          <w:lang w:val="it-IT" w:eastAsia="de-AT"/>
        </w:rPr>
      </w:pPr>
      <w:r w:rsidRPr="00254F05">
        <w:rPr>
          <w:rFonts w:ascii="Arial" w:hAnsi="Arial" w:cs="Arial"/>
          <w:color w:val="000000"/>
          <w:sz w:val="22"/>
          <w:szCs w:val="22"/>
          <w:lang w:val="it-IT" w:eastAsia="de-AT"/>
        </w:rPr>
        <w:t xml:space="preserve">I costi esterni del trasporto merci sono molto più elevati nelle regioni di montagna rispetto alle zone pianeggianti. Pertanto, il “fattore montagna </w:t>
      </w:r>
      <w:smartTag w:uri="urn:schemas-microsoft-com:office:smarttags" w:element="metricconverter">
        <w:smartTagPr>
          <w:attr w:name="ProductID" w:val="2”"/>
        </w:smartTagPr>
        <w:r w:rsidRPr="00254F05">
          <w:rPr>
            <w:rFonts w:ascii="Arial" w:hAnsi="Arial" w:cs="Arial"/>
            <w:color w:val="000000"/>
            <w:sz w:val="22"/>
            <w:szCs w:val="22"/>
            <w:lang w:val="it-IT" w:eastAsia="de-AT"/>
          </w:rPr>
          <w:t>2”</w:t>
        </w:r>
      </w:smartTag>
      <w:r w:rsidRPr="00254F05">
        <w:rPr>
          <w:rFonts w:ascii="Arial" w:hAnsi="Arial" w:cs="Arial"/>
          <w:color w:val="000000"/>
          <w:sz w:val="22"/>
          <w:szCs w:val="22"/>
          <w:lang w:val="it-IT" w:eastAsia="de-AT"/>
        </w:rPr>
        <w:t xml:space="preserve">, previsto nella versione attuale della direttiva sui costi delle infrastrutture, deve essere aumentato al “fattore </w:t>
      </w:r>
      <w:smartTag w:uri="urn:schemas-microsoft-com:office:smarttags" w:element="metricconverter">
        <w:smartTagPr>
          <w:attr w:name="ProductID" w:val="4”"/>
        </w:smartTagPr>
        <w:r w:rsidRPr="00254F05">
          <w:rPr>
            <w:rFonts w:ascii="Arial" w:hAnsi="Arial" w:cs="Arial"/>
            <w:color w:val="000000"/>
            <w:sz w:val="22"/>
            <w:szCs w:val="22"/>
            <w:lang w:val="it-IT" w:eastAsia="de-AT"/>
          </w:rPr>
          <w:t>4”</w:t>
        </w:r>
      </w:smartTag>
      <w:r w:rsidRPr="00254F05">
        <w:rPr>
          <w:rFonts w:ascii="Arial" w:hAnsi="Arial" w:cs="Arial"/>
          <w:color w:val="000000"/>
          <w:sz w:val="22"/>
          <w:szCs w:val="22"/>
          <w:lang w:val="it-IT" w:eastAsia="de-AT"/>
        </w:rPr>
        <w:t>.</w:t>
      </w:r>
    </w:p>
    <w:p w:rsidR="00887B5B" w:rsidRPr="00254F05" w:rsidRDefault="00887B5B" w:rsidP="00254F05">
      <w:pPr>
        <w:numPr>
          <w:ilvl w:val="0"/>
          <w:numId w:val="2"/>
        </w:numPr>
        <w:spacing w:before="60" w:after="240"/>
        <w:rPr>
          <w:rFonts w:ascii="Arial" w:hAnsi="Arial" w:cs="Arial"/>
          <w:color w:val="000000"/>
          <w:sz w:val="22"/>
          <w:szCs w:val="22"/>
          <w:lang w:val="it-IT" w:eastAsia="de-AT"/>
        </w:rPr>
      </w:pPr>
      <w:r w:rsidRPr="00254F05">
        <w:rPr>
          <w:rFonts w:ascii="Arial" w:hAnsi="Arial" w:cs="Arial"/>
          <w:color w:val="000000"/>
          <w:sz w:val="22"/>
          <w:szCs w:val="22"/>
          <w:lang w:val="it-IT" w:eastAsia="de-AT"/>
        </w:rPr>
        <w:lastRenderedPageBreak/>
        <w:t>Un’esenzione totale dal pedaggio per il traffico pesante senza emissioni (per i cosiddetti veicoli a emissioni zero) è in contrasto con il principio di causalità. In primo luogo, le emissioni di CO</w:t>
      </w:r>
      <w:r w:rsidRPr="00254F05">
        <w:rPr>
          <w:rFonts w:ascii="Arial" w:hAnsi="Arial" w:cs="Arial"/>
          <w:color w:val="000000"/>
          <w:sz w:val="22"/>
          <w:szCs w:val="22"/>
          <w:vertAlign w:val="subscript"/>
          <w:lang w:val="it-IT" w:eastAsia="de-AT"/>
        </w:rPr>
        <w:t>2</w:t>
      </w:r>
      <w:r w:rsidRPr="00254F05">
        <w:rPr>
          <w:rFonts w:ascii="Arial" w:hAnsi="Arial" w:cs="Arial"/>
          <w:color w:val="000000"/>
          <w:sz w:val="22"/>
          <w:szCs w:val="22"/>
          <w:lang w:val="it-IT" w:eastAsia="de-AT"/>
        </w:rPr>
        <w:t xml:space="preserve"> sono generate durante l’intero ciclo di vita di un veicolo. In secondo luogo, anche i veicoli a emissioni zero producono costi connessi al rumore, costi di congestione e costi di infrastruttura.</w:t>
      </w:r>
    </w:p>
    <w:p w:rsidR="00887B5B" w:rsidRPr="002F057F" w:rsidRDefault="00887B5B" w:rsidP="002F057F">
      <w:pPr>
        <w:spacing w:before="240" w:after="240"/>
        <w:rPr>
          <w:rFonts w:ascii="Arial" w:hAnsi="Arial" w:cs="Arial"/>
          <w:color w:val="000000"/>
          <w:sz w:val="22"/>
          <w:szCs w:val="22"/>
          <w:lang w:val="it-IT" w:eastAsia="de-AT"/>
        </w:rPr>
      </w:pPr>
      <w:r w:rsidRPr="00254F05">
        <w:rPr>
          <w:rFonts w:ascii="Arial" w:hAnsi="Arial" w:cs="Arial"/>
          <w:color w:val="000000"/>
          <w:sz w:val="22"/>
          <w:szCs w:val="22"/>
          <w:lang w:val="it-IT" w:eastAsia="de-AT"/>
        </w:rPr>
        <w:t>La CIPRA sottolinea che già la Convenzione delle Alpi, firmata da tutti gli Stati alpini nel 1991 e il relativo Protocollo sui trasporti (adottato nel 2000), impongono l’integrazione di tutti i costi esterni così come l’applicazione del principio di causalità.</w:t>
      </w:r>
      <w:r w:rsidRPr="002F057F">
        <w:rPr>
          <w:rFonts w:ascii="Arial" w:hAnsi="Arial" w:cs="Arial"/>
          <w:color w:val="000000"/>
          <w:sz w:val="22"/>
          <w:szCs w:val="22"/>
          <w:lang w:val="it-IT" w:eastAsia="de-AT"/>
        </w:rPr>
        <w:t> </w:t>
      </w:r>
    </w:p>
    <w:p w:rsidR="00887B5B" w:rsidRDefault="00887B5B" w:rsidP="002F057F">
      <w:pPr>
        <w:spacing w:before="120" w:after="240"/>
        <w:rPr>
          <w:rFonts w:ascii="Arial" w:hAnsi="Arial" w:cs="Arial"/>
          <w:color w:val="6E6B60"/>
          <w:sz w:val="20"/>
          <w:szCs w:val="20"/>
          <w:lang w:val="it-IT" w:eastAsia="de-AT"/>
        </w:rPr>
      </w:pPr>
    </w:p>
    <w:p w:rsidR="00887B5B" w:rsidRPr="008727EE" w:rsidRDefault="00887B5B" w:rsidP="008727EE">
      <w:pPr>
        <w:spacing w:before="120" w:after="240"/>
        <w:rPr>
          <w:rFonts w:ascii="Arial" w:hAnsi="Arial" w:cs="Arial"/>
          <w:color w:val="808080"/>
          <w:sz w:val="20"/>
          <w:szCs w:val="20"/>
          <w:lang w:val="it-IT" w:eastAsia="de-AT"/>
        </w:rPr>
      </w:pPr>
      <w:r w:rsidRPr="002F057F">
        <w:rPr>
          <w:rFonts w:ascii="Arial" w:hAnsi="Arial" w:cs="Arial"/>
          <w:color w:val="6E6B60"/>
          <w:sz w:val="20"/>
          <w:szCs w:val="20"/>
          <w:lang w:val="it-IT" w:eastAsia="de-AT"/>
        </w:rPr>
        <w:t>Il presente comunicato stampa e fotografie per la stampa possono essere scaricate da:</w:t>
      </w:r>
      <w:r w:rsidRPr="002F057F">
        <w:rPr>
          <w:sz w:val="20"/>
          <w:szCs w:val="20"/>
          <w:lang w:val="it-IT"/>
        </w:rPr>
        <w:t xml:space="preserve"> </w:t>
      </w:r>
      <w:r w:rsidR="008727EE">
        <w:fldChar w:fldCharType="begin"/>
      </w:r>
      <w:r w:rsidR="008727EE" w:rsidRPr="008727EE">
        <w:rPr>
          <w:lang w:val="en-GB"/>
        </w:rPr>
        <w:instrText xml:space="preserve"> HYPERLINK "https://www.cipra.org/it/comunicato-stampa" </w:instrText>
      </w:r>
      <w:r w:rsidR="008727EE">
        <w:fldChar w:fldCharType="separate"/>
      </w:r>
      <w:r w:rsidRPr="002F057F">
        <w:rPr>
          <w:rStyle w:val="Hyperlink"/>
          <w:rFonts w:ascii="Arial" w:hAnsi="Arial" w:cs="Arial"/>
          <w:sz w:val="20"/>
          <w:szCs w:val="20"/>
          <w:lang w:val="it-IT" w:eastAsia="de-AT"/>
        </w:rPr>
        <w:t>https://www.cipra.org/it/comunicato-stampa</w:t>
      </w:r>
      <w:r w:rsidR="008727EE">
        <w:rPr>
          <w:rStyle w:val="Hyperlink"/>
          <w:rFonts w:ascii="Arial" w:hAnsi="Arial" w:cs="Arial"/>
          <w:sz w:val="20"/>
          <w:szCs w:val="20"/>
          <w:lang w:val="it-IT" w:eastAsia="de-AT"/>
        </w:rPr>
        <w:fldChar w:fldCharType="end"/>
      </w:r>
      <w:bookmarkStart w:id="0" w:name="_GoBack"/>
      <w:bookmarkEnd w:id="0"/>
    </w:p>
    <w:p w:rsidR="00887B5B" w:rsidRPr="002F057F" w:rsidRDefault="00887B5B" w:rsidP="005E1696">
      <w:pPr>
        <w:pStyle w:val="MMFusszeile"/>
        <w:spacing w:before="120" w:line="276" w:lineRule="auto"/>
        <w:contextualSpacing w:val="0"/>
        <w:rPr>
          <w:color w:val="6E6B60"/>
          <w:lang w:val="it-IT"/>
        </w:rPr>
      </w:pPr>
      <w:r w:rsidRPr="002F057F">
        <w:rPr>
          <w:color w:val="6E6B60"/>
          <w:lang w:val="it-IT"/>
        </w:rPr>
        <w:t>Per informazioni rivolgersi a:</w:t>
      </w:r>
      <w:r w:rsidRPr="002F057F">
        <w:rPr>
          <w:color w:val="6E6B60"/>
          <w:lang w:val="it-IT"/>
        </w:rPr>
        <w:br/>
        <w:t xml:space="preserve">Michael </w:t>
      </w:r>
      <w:proofErr w:type="spellStart"/>
      <w:r w:rsidRPr="002F057F">
        <w:rPr>
          <w:color w:val="6E6B60"/>
          <w:lang w:val="it-IT"/>
        </w:rPr>
        <w:t>Gams</w:t>
      </w:r>
      <w:proofErr w:type="spellEnd"/>
      <w:r w:rsidRPr="002F057F">
        <w:rPr>
          <w:color w:val="6E6B60"/>
          <w:lang w:val="it-IT"/>
        </w:rPr>
        <w:t xml:space="preserve">, responsabile di progetto per la comunicazione, CIPRA International, </w:t>
      </w:r>
      <w:hyperlink r:id="rId8" w:history="1">
        <w:r w:rsidRPr="002F057F">
          <w:rPr>
            <w:rStyle w:val="Hyperlink"/>
            <w:rFonts w:cs="Arial"/>
            <w:lang w:val="it-IT"/>
          </w:rPr>
          <w:t>michael.gams@cipra.org</w:t>
        </w:r>
      </w:hyperlink>
    </w:p>
    <w:p w:rsidR="00887B5B" w:rsidRPr="002F057F" w:rsidRDefault="00887B5B" w:rsidP="00E16C3D">
      <w:pPr>
        <w:pStyle w:val="MMFusszeile"/>
        <w:spacing w:before="120"/>
        <w:contextualSpacing w:val="0"/>
        <w:rPr>
          <w:color w:val="6E6B60"/>
          <w:u w:val="single"/>
          <w:lang w:val="it-IT"/>
        </w:rPr>
      </w:pPr>
    </w:p>
    <w:p w:rsidR="00887B5B" w:rsidRPr="002E0F3C" w:rsidRDefault="00887B5B" w:rsidP="00E16C3D">
      <w:pPr>
        <w:shd w:val="clear" w:color="auto" w:fill="C0BDB4"/>
        <w:spacing w:after="60" w:line="280" w:lineRule="atLeast"/>
        <w:rPr>
          <w:rFonts w:ascii="Arial" w:hAnsi="Arial" w:cs="Arial"/>
          <w:b/>
          <w:sz w:val="20"/>
          <w:szCs w:val="20"/>
          <w:lang w:val="it-IT"/>
        </w:rPr>
      </w:pPr>
      <w:r w:rsidRPr="002E0F3C">
        <w:rPr>
          <w:rFonts w:ascii="Arial" w:hAnsi="Arial" w:cs="Arial"/>
          <w:b/>
          <w:sz w:val="20"/>
          <w:szCs w:val="20"/>
          <w:lang w:val="it-IT"/>
        </w:rPr>
        <w:t>CIPRA, un’organizzazione variegata e dalle molte sfaccettature</w:t>
      </w:r>
    </w:p>
    <w:p w:rsidR="00887B5B" w:rsidRPr="00E16C3D" w:rsidRDefault="00887B5B" w:rsidP="00E16C3D">
      <w:pPr>
        <w:shd w:val="clear" w:color="auto" w:fill="C0BDB4"/>
        <w:spacing w:line="280" w:lineRule="atLeast"/>
        <w:rPr>
          <w:rFonts w:ascii="Arial" w:hAnsi="Arial" w:cs="Arial"/>
          <w:sz w:val="20"/>
          <w:szCs w:val="20"/>
        </w:rPr>
      </w:pPr>
      <w:r w:rsidRPr="002E0F3C">
        <w:rPr>
          <w:rFonts w:ascii="Arial" w:hAnsi="Arial" w:cs="Arial"/>
          <w:sz w:val="20"/>
          <w:szCs w:val="20"/>
          <w:lang w:val="it-IT"/>
        </w:rPr>
        <w:t xml:space="preserve">La CIPRA, Commissione Internazionale per la Protezione delle Alpi, è un’organizzazione non governativa, strutturata in rappresentanze dislocate nei sette Stati alpini. Ne aderiscono più di 100 associazioni e organizzazioni. La CIPRA opera in favore di uno sviluppo sostenibile nelle Alpi e si impegna per la salvaguardia del patrimonio naturale e culturale, per il mantenimento delle varietà regionali e per la ricerca di soluzioni ai problemi transfrontalieri dello spazio alpino.  </w:t>
      </w:r>
      <w:hyperlink r:id="rId9" w:history="1">
        <w:r w:rsidRPr="00E16C3D">
          <w:rPr>
            <w:rFonts w:ascii="Arial" w:hAnsi="Arial" w:cs="Arial"/>
            <w:sz w:val="20"/>
            <w:szCs w:val="20"/>
            <w:u w:val="single"/>
          </w:rPr>
          <w:t>www.cipra.org</w:t>
        </w:r>
      </w:hyperlink>
    </w:p>
    <w:p w:rsidR="00887B5B" w:rsidRPr="00E16C3D" w:rsidRDefault="00887B5B" w:rsidP="00E16C3D">
      <w:pPr>
        <w:pStyle w:val="MMFusszeile"/>
        <w:tabs>
          <w:tab w:val="left" w:pos="2310"/>
        </w:tabs>
        <w:spacing w:after="240"/>
        <w:rPr>
          <w:color w:val="6E6B60"/>
          <w:sz w:val="22"/>
          <w:szCs w:val="22"/>
          <w:lang w:val="it-IT"/>
        </w:rPr>
      </w:pPr>
    </w:p>
    <w:sectPr w:rsidR="00887B5B" w:rsidRPr="00E16C3D" w:rsidSect="00E73DE9">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B5B" w:rsidRDefault="00887B5B">
      <w:r>
        <w:separator/>
      </w:r>
    </w:p>
  </w:endnote>
  <w:endnote w:type="continuationSeparator" w:id="0">
    <w:p w:rsidR="00887B5B" w:rsidRDefault="0088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5B" w:rsidRDefault="00887B5B" w:rsidP="00E73DE9">
    <w:pPr>
      <w:framePr w:wrap="around" w:vAnchor="text" w:hAnchor="margin" w:y="1"/>
    </w:pPr>
    <w:r>
      <w:fldChar w:fldCharType="begin"/>
    </w:r>
    <w:r>
      <w:instrText xml:space="preserve">PAGE  </w:instrText>
    </w:r>
    <w:r>
      <w:fldChar w:fldCharType="end"/>
    </w:r>
  </w:p>
  <w:p w:rsidR="00887B5B" w:rsidRDefault="00887B5B" w:rsidP="00E73DE9">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5B" w:rsidRDefault="00887B5B" w:rsidP="00E73DE9">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5B" w:rsidRPr="002E0F3C" w:rsidRDefault="00887B5B" w:rsidP="00E73DE9">
    <w:pPr>
      <w:pStyle w:val="Fuzeile"/>
      <w:spacing w:line="260" w:lineRule="exact"/>
      <w:ind w:left="-1276" w:right="-404"/>
      <w:rPr>
        <w:rFonts w:ascii="HelveticaNeueLTStd-Lt" w:hAnsi="HelveticaNeueLTStd-Lt" w:cs="HelveticaNeueLTStd-Lt"/>
        <w:color w:val="65653F"/>
        <w:spacing w:val="6"/>
        <w:sz w:val="16"/>
        <w:szCs w:val="16"/>
        <w:lang w:val="it-IT" w:eastAsia="de-DE"/>
      </w:rPr>
    </w:pPr>
    <w:r w:rsidRPr="002E0F3C">
      <w:rPr>
        <w:rFonts w:ascii="HelveticaNeueLTStd-Lt" w:hAnsi="HelveticaNeueLTStd-Lt" w:cs="HelveticaNeueLTStd-Lt"/>
        <w:color w:val="65653F"/>
        <w:spacing w:val="6"/>
        <w:sz w:val="16"/>
        <w:szCs w:val="16"/>
        <w:lang w:val="it-IT" w:eastAsia="de-DE"/>
      </w:rPr>
      <w:t xml:space="preserve">Commissione Internazionale per la Protezione delle </w:t>
    </w:r>
    <w:proofErr w:type="gramStart"/>
    <w:r w:rsidRPr="002E0F3C">
      <w:rPr>
        <w:rFonts w:ascii="HelveticaNeueLTStd-Lt" w:hAnsi="HelveticaNeueLTStd-Lt" w:cs="HelveticaNeueLTStd-Lt"/>
        <w:color w:val="65653F"/>
        <w:spacing w:val="6"/>
        <w:sz w:val="16"/>
        <w:szCs w:val="16"/>
        <w:lang w:val="it-IT" w:eastAsia="de-DE"/>
      </w:rPr>
      <w:t>Alpi  ·</w:t>
    </w:r>
    <w:proofErr w:type="gramEnd"/>
    <w:r w:rsidRPr="002E0F3C">
      <w:rPr>
        <w:rFonts w:ascii="HelveticaNeueLTStd-Lt" w:hAnsi="HelveticaNeueLTStd-Lt" w:cs="HelveticaNeueLTStd-Lt"/>
        <w:color w:val="65653F"/>
        <w:spacing w:val="6"/>
        <w:sz w:val="16"/>
        <w:szCs w:val="16"/>
        <w:lang w:val="it-IT" w:eastAsia="de-DE"/>
      </w:rPr>
      <w:t xml:space="preserve">  CIPRA Internazionale </w:t>
    </w:r>
  </w:p>
  <w:p w:rsidR="00887B5B" w:rsidRPr="003639CB" w:rsidRDefault="00887B5B" w:rsidP="00E73DE9">
    <w:pPr>
      <w:pStyle w:val="Fuzeile"/>
      <w:spacing w:line="260" w:lineRule="exact"/>
      <w:ind w:left="-1276" w:right="-404"/>
      <w:rPr>
        <w:spacing w:val="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B5B" w:rsidRDefault="00887B5B">
      <w:r>
        <w:separator/>
      </w:r>
    </w:p>
  </w:footnote>
  <w:footnote w:type="continuationSeparator" w:id="0">
    <w:p w:rsidR="00887B5B" w:rsidRDefault="0088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5B" w:rsidRDefault="008727EE">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2049" type="#_x0000_t75" alt="CIPRA-BP-word-Kopf-Seite2.png" style="position:absolute;margin-left:0;margin-top:0;width:198.8pt;height:99.2pt;z-index:-251656192;visibility:visible;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5B" w:rsidRDefault="008727EE">
    <w:r>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alt="CIPRA-BP-word-Kopf-IT.png" style="position:absolute;margin-left:0;margin-top:0;width:198.5pt;height:99pt;z-index:-251654144;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7DE74C04"/>
    <w:multiLevelType w:val="hybridMultilevel"/>
    <w:tmpl w:val="93A221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1696"/>
    <w:rsid w:val="0008303A"/>
    <w:rsid w:val="00102681"/>
    <w:rsid w:val="00117986"/>
    <w:rsid w:val="00254F05"/>
    <w:rsid w:val="002D5D20"/>
    <w:rsid w:val="002E0F3C"/>
    <w:rsid w:val="002F057F"/>
    <w:rsid w:val="002F5967"/>
    <w:rsid w:val="003639CB"/>
    <w:rsid w:val="0050138E"/>
    <w:rsid w:val="005E1696"/>
    <w:rsid w:val="0062593F"/>
    <w:rsid w:val="00693912"/>
    <w:rsid w:val="00797052"/>
    <w:rsid w:val="008164B0"/>
    <w:rsid w:val="008727EE"/>
    <w:rsid w:val="00887B5B"/>
    <w:rsid w:val="009319E8"/>
    <w:rsid w:val="00AD3D8C"/>
    <w:rsid w:val="00B20D94"/>
    <w:rsid w:val="00C17BF8"/>
    <w:rsid w:val="00C567C2"/>
    <w:rsid w:val="00C8242A"/>
    <w:rsid w:val="00CA5D36"/>
    <w:rsid w:val="00D50508"/>
    <w:rsid w:val="00E16C3D"/>
    <w:rsid w:val="00E73D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0BD62065"/>
  <w15:docId w15:val="{A4329949-DC94-4C5F-A4D2-3573C60B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0508"/>
    <w:rPr>
      <w:sz w:val="24"/>
      <w:szCs w:val="24"/>
      <w:lang w:val="de-DE" w:eastAsia="en-US"/>
    </w:rPr>
  </w:style>
  <w:style w:type="paragraph" w:styleId="berschrift1">
    <w:name w:val="heading 1"/>
    <w:aliases w:val="Betreff Überschrift"/>
    <w:basedOn w:val="Standard"/>
    <w:next w:val="Standard"/>
    <w:link w:val="berschrift1Zchn"/>
    <w:autoRedefine/>
    <w:uiPriority w:val="99"/>
    <w:qFormat/>
    <w:rsid w:val="00D50508"/>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uiPriority w:val="99"/>
    <w:locked/>
    <w:rsid w:val="00D50508"/>
    <w:rPr>
      <w:rFonts w:ascii="Arial" w:hAnsi="Arial" w:cs="Times New Roman"/>
      <w:b/>
      <w:bCs/>
      <w:sz w:val="32"/>
      <w:szCs w:val="32"/>
      <w:lang w:eastAsia="en-US"/>
    </w:rPr>
  </w:style>
  <w:style w:type="character" w:customStyle="1" w:styleId="CIPRA">
    <w:name w:val="CIPRA"/>
    <w:basedOn w:val="Absatz-Standardschriftart"/>
    <w:uiPriority w:val="99"/>
    <w:rsid w:val="00D50508"/>
    <w:rPr>
      <w:rFonts w:ascii="Arial" w:hAnsi="Arial" w:cs="Times New Roman"/>
      <w:color w:val="auto"/>
      <w:sz w:val="20"/>
    </w:rPr>
  </w:style>
  <w:style w:type="paragraph" w:styleId="Kopfzeile">
    <w:name w:val="header"/>
    <w:basedOn w:val="Standard"/>
    <w:link w:val="KopfzeileZchn"/>
    <w:uiPriority w:val="99"/>
    <w:rsid w:val="00D50508"/>
    <w:pPr>
      <w:tabs>
        <w:tab w:val="center" w:pos="4703"/>
        <w:tab w:val="right" w:pos="9406"/>
      </w:tabs>
    </w:pPr>
  </w:style>
  <w:style w:type="character" w:customStyle="1" w:styleId="KopfzeileZchn">
    <w:name w:val="Kopfzeile Zchn"/>
    <w:basedOn w:val="Absatz-Standardschriftart"/>
    <w:link w:val="Kopfzeile"/>
    <w:uiPriority w:val="99"/>
    <w:locked/>
    <w:rsid w:val="00D50508"/>
    <w:rPr>
      <w:rFonts w:cs="Times New Roman"/>
      <w:lang w:eastAsia="en-US"/>
    </w:rPr>
  </w:style>
  <w:style w:type="paragraph" w:customStyle="1" w:styleId="BasicParagraph">
    <w:name w:val="[Basic Paragraph]"/>
    <w:basedOn w:val="Standard"/>
    <w:uiPriority w:val="99"/>
    <w:rsid w:val="00D50508"/>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uiPriority w:val="99"/>
    <w:rsid w:val="00D50508"/>
    <w:pPr>
      <w:tabs>
        <w:tab w:val="center" w:pos="4703"/>
        <w:tab w:val="right" w:pos="9406"/>
      </w:tabs>
    </w:pPr>
  </w:style>
  <w:style w:type="character" w:customStyle="1" w:styleId="FuzeileZchn">
    <w:name w:val="Fußzeile Zchn"/>
    <w:basedOn w:val="Absatz-Standardschriftart"/>
    <w:link w:val="Fuzeile"/>
    <w:uiPriority w:val="99"/>
    <w:locked/>
    <w:rsid w:val="00D50508"/>
    <w:rPr>
      <w:rFonts w:cs="Times New Roman"/>
      <w:lang w:eastAsia="en-US"/>
    </w:rPr>
  </w:style>
  <w:style w:type="character" w:styleId="Hyperlink">
    <w:name w:val="Hyperlink"/>
    <w:basedOn w:val="Absatz-Standardschriftart"/>
    <w:uiPriority w:val="99"/>
    <w:rsid w:val="00AD3D8C"/>
    <w:rPr>
      <w:rFonts w:cs="Times New Roman"/>
      <w:color w:val="0000FF"/>
      <w:u w:val="single"/>
    </w:rPr>
  </w:style>
  <w:style w:type="paragraph" w:customStyle="1" w:styleId="MMTitel">
    <w:name w:val="MM Titel"/>
    <w:basedOn w:val="Standard"/>
    <w:next w:val="MMLead"/>
    <w:autoRedefine/>
    <w:uiPriority w:val="99"/>
    <w:rsid w:val="00AD3D8C"/>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uiPriority w:val="99"/>
    <w:rsid w:val="00AD3D8C"/>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uiPriority w:val="99"/>
    <w:rsid w:val="00AD3D8C"/>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uiPriority w:val="99"/>
    <w:rsid w:val="00AD3D8C"/>
    <w:pPr>
      <w:spacing w:before="240"/>
      <w:jc w:val="left"/>
    </w:pPr>
    <w:rPr>
      <w:b/>
    </w:rPr>
  </w:style>
  <w:style w:type="paragraph" w:customStyle="1" w:styleId="MMFusszeile">
    <w:name w:val="MM Fusszeile"/>
    <w:basedOn w:val="MMText"/>
    <w:autoRedefine/>
    <w:uiPriority w:val="99"/>
    <w:rsid w:val="00AD3D8C"/>
    <w:pPr>
      <w:spacing w:line="240" w:lineRule="auto"/>
      <w:jc w:val="left"/>
    </w:pPr>
    <w:rPr>
      <w:sz w:val="20"/>
      <w:szCs w:val="20"/>
    </w:rPr>
  </w:style>
  <w:style w:type="paragraph" w:customStyle="1" w:styleId="MMSperrfrist">
    <w:name w:val="MM Sperrfrist"/>
    <w:basedOn w:val="Standard"/>
    <w:next w:val="MMTitel"/>
    <w:autoRedefine/>
    <w:uiPriority w:val="99"/>
    <w:rsid w:val="00AD3D8C"/>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uiPriority w:val="99"/>
    <w:rsid w:val="00AD3D8C"/>
    <w:pPr>
      <w:spacing w:before="120" w:after="120" w:line="360" w:lineRule="auto"/>
    </w:pPr>
    <w:rPr>
      <w:rFonts w:ascii="Arial" w:eastAsia="Times New Roman" w:hAnsi="Arial" w:cs="Arial"/>
      <w:sz w:val="22"/>
      <w:szCs w:val="22"/>
      <w:lang w:val="de-CH" w:eastAsia="de-DE"/>
    </w:rPr>
  </w:style>
  <w:style w:type="paragraph" w:customStyle="1" w:styleId="Pa3">
    <w:name w:val="Pa3"/>
    <w:basedOn w:val="Standard"/>
    <w:next w:val="Standard"/>
    <w:uiPriority w:val="99"/>
    <w:rsid w:val="005E1696"/>
    <w:pPr>
      <w:autoSpaceDE w:val="0"/>
      <w:autoSpaceDN w:val="0"/>
      <w:adjustRightInd w:val="0"/>
      <w:spacing w:line="191" w:lineRule="atLeast"/>
    </w:pPr>
    <w:rPr>
      <w:rFonts w:ascii="DINPro-Regular" w:hAnsi="DINPro-Regular"/>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5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gams@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cipra.org/de/positionen/eurovignetten-wegekosten-richtlinie-zeit-zum-handeln-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it%20VorlageMM-I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VorlageMM-Int</Template>
  <TotalTime>0</TotalTime>
  <Pages>2</Pages>
  <Words>665</Words>
  <Characters>4196</Characters>
  <Application>Microsoft Office Word</Application>
  <DocSecurity>0</DocSecurity>
  <Lines>34</Lines>
  <Paragraphs>9</Paragraphs>
  <ScaleCrop>false</ScaleCrop>
  <Company>PowerMac G5</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
  <dc:creator>CIPRA International - Michael GAMS</dc:creator>
  <cp:keywords/>
  <dc:description/>
  <cp:lastModifiedBy>CIPRA International - Luisa Deubzer</cp:lastModifiedBy>
  <cp:revision>5</cp:revision>
  <cp:lastPrinted>2011-04-15T15:05:00Z</cp:lastPrinted>
  <dcterms:created xsi:type="dcterms:W3CDTF">2020-08-31T12:25:00Z</dcterms:created>
  <dcterms:modified xsi:type="dcterms:W3CDTF">2020-08-31T12:41:00Z</dcterms:modified>
</cp:coreProperties>
</file>